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36065">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bookmarkStart w:id="0" w:name="_GoBack"/>
      <w:r>
        <w:rPr>
          <w:rFonts w:hint="eastAsia" w:ascii="方正黑体_GBK" w:hAnsi="方正黑体_GBK" w:eastAsia="方正黑体_GBK" w:cs="方正黑体_GBK"/>
          <w:b w:val="0"/>
          <w:bCs w:val="0"/>
          <w:i w:val="0"/>
          <w:snapToGrid w:val="0"/>
          <w:color w:val="auto"/>
          <w:kern w:val="21"/>
          <w:sz w:val="32"/>
          <w:szCs w:val="32"/>
          <w:u w:val="none"/>
          <w:lang w:val="en-US" w:eastAsia="zh-CN" w:bidi="ar"/>
        </w:rPr>
        <w:t>附件5</w:t>
      </w:r>
    </w:p>
    <w:p w14:paraId="3B7C08C5">
      <w:pPr>
        <w:keepNext w:val="0"/>
        <w:keepLines w:val="0"/>
        <w:pageBreakBefore w:val="0"/>
        <w:widowControl w:val="0"/>
        <w:kinsoku/>
        <w:wordWrap/>
        <w:overflowPunct/>
        <w:topLinePunct w:val="0"/>
        <w:autoSpaceDE/>
        <w:autoSpaceDN/>
        <w:bidi w:val="0"/>
        <w:adjustRightInd w:val="0"/>
        <w:snapToGrid w:val="0"/>
        <w:spacing w:line="590" w:lineRule="exact"/>
        <w:jc w:val="both"/>
        <w:textAlignment w:val="auto"/>
        <w:rPr>
          <w:rFonts w:hint="eastAsia" w:ascii="Times New Roman" w:hAnsi="Times New Roman" w:eastAsia="方正仿宋_GBK" w:cs="方正仿宋_GBK"/>
          <w:b w:val="0"/>
          <w:bCs w:val="0"/>
          <w:i w:val="0"/>
          <w:snapToGrid w:val="0"/>
          <w:color w:val="auto"/>
          <w:kern w:val="21"/>
          <w:sz w:val="32"/>
          <w:szCs w:val="32"/>
          <w:u w:val="none"/>
          <w:lang w:val="en-US" w:eastAsia="zh-CN" w:bidi="ar"/>
        </w:rPr>
      </w:pPr>
    </w:p>
    <w:p w14:paraId="1E7B2767">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pPr>
      <w:r>
        <w:rPr>
          <w:rFonts w:hint="eastAsia" w:ascii="方正小标宋简体" w:hAnsi="方正小标宋简体" w:eastAsia="方正小标宋简体" w:cs="方正小标宋简体"/>
          <w:b w:val="0"/>
          <w:bCs w:val="0"/>
          <w:i w:val="0"/>
          <w:snapToGrid w:val="0"/>
          <w:color w:val="auto"/>
          <w:kern w:val="21"/>
          <w:sz w:val="44"/>
          <w:szCs w:val="44"/>
          <w:u w:val="none"/>
          <w:lang w:val="en-US" w:eastAsia="zh-CN" w:bidi="ar"/>
        </w:rPr>
        <w:t>2025年广西产业营商环境建设任务清单</w:t>
      </w:r>
      <w:bookmarkEnd w:id="0"/>
    </w:p>
    <w:p w14:paraId="5CE80AF6">
      <w:pPr>
        <w:pStyle w:val="2"/>
        <w:rPr>
          <w:rFonts w:hint="eastAsia" w:ascii="方正黑体_GBK" w:hAnsi="方正黑体_GBK" w:eastAsia="方正黑体_GBK" w:cs="方正黑体_GBK"/>
          <w:b w:val="0"/>
          <w:bCs w:val="0"/>
          <w:i w:val="0"/>
          <w:snapToGrid w:val="0"/>
          <w:color w:val="auto"/>
          <w:kern w:val="21"/>
          <w:sz w:val="32"/>
          <w:szCs w:val="32"/>
          <w:u w:val="none"/>
          <w:lang w:val="en-US" w:eastAsia="zh-CN" w:bidi="ar"/>
        </w:rPr>
      </w:pPr>
    </w:p>
    <w:tbl>
      <w:tblPr>
        <w:tblStyle w:val="4"/>
        <w:tblW w:w="13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1414"/>
        <w:gridCol w:w="2000"/>
        <w:gridCol w:w="5192"/>
        <w:gridCol w:w="2430"/>
        <w:gridCol w:w="1418"/>
      </w:tblGrid>
      <w:tr w14:paraId="5192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642" w:type="dxa"/>
            <w:tcBorders>
              <w:tl2br w:val="nil"/>
              <w:tr2bl w:val="nil"/>
            </w:tcBorders>
            <w:noWrap w:val="0"/>
            <w:tcMar>
              <w:top w:w="28" w:type="dxa"/>
              <w:left w:w="28" w:type="dxa"/>
              <w:bottom w:w="28" w:type="dxa"/>
              <w:right w:w="28" w:type="dxa"/>
            </w:tcMar>
            <w:vAlign w:val="center"/>
          </w:tcPr>
          <w:p w14:paraId="1D198B7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序号</w:t>
            </w:r>
          </w:p>
        </w:tc>
        <w:tc>
          <w:tcPr>
            <w:tcW w:w="1414" w:type="dxa"/>
            <w:tcBorders>
              <w:tl2br w:val="nil"/>
              <w:tr2bl w:val="nil"/>
            </w:tcBorders>
            <w:noWrap w:val="0"/>
            <w:tcMar>
              <w:top w:w="28" w:type="dxa"/>
              <w:left w:w="28" w:type="dxa"/>
              <w:bottom w:w="28" w:type="dxa"/>
              <w:right w:w="28" w:type="dxa"/>
            </w:tcMar>
            <w:vAlign w:val="center"/>
          </w:tcPr>
          <w:p w14:paraId="6277522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指标</w:t>
            </w:r>
          </w:p>
        </w:tc>
        <w:tc>
          <w:tcPr>
            <w:tcW w:w="2000" w:type="dxa"/>
            <w:tcBorders>
              <w:tl2br w:val="nil"/>
              <w:tr2bl w:val="nil"/>
            </w:tcBorders>
            <w:noWrap w:val="0"/>
            <w:tcMar>
              <w:top w:w="28" w:type="dxa"/>
              <w:left w:w="28" w:type="dxa"/>
              <w:bottom w:w="28" w:type="dxa"/>
              <w:right w:w="28" w:type="dxa"/>
            </w:tcMar>
            <w:vAlign w:val="center"/>
          </w:tcPr>
          <w:p w14:paraId="75577E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改革方向</w:t>
            </w:r>
          </w:p>
        </w:tc>
        <w:tc>
          <w:tcPr>
            <w:tcW w:w="5192" w:type="dxa"/>
            <w:tcBorders>
              <w:tl2br w:val="nil"/>
              <w:tr2bl w:val="nil"/>
            </w:tcBorders>
            <w:noWrap w:val="0"/>
            <w:tcMar>
              <w:top w:w="28" w:type="dxa"/>
              <w:left w:w="28" w:type="dxa"/>
              <w:bottom w:w="28" w:type="dxa"/>
              <w:right w:w="28" w:type="dxa"/>
            </w:tcMar>
            <w:vAlign w:val="center"/>
          </w:tcPr>
          <w:p w14:paraId="3FD7D39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任务举措</w:t>
            </w:r>
          </w:p>
        </w:tc>
        <w:tc>
          <w:tcPr>
            <w:tcW w:w="2430" w:type="dxa"/>
            <w:tcBorders>
              <w:tl2br w:val="nil"/>
              <w:tr2bl w:val="nil"/>
            </w:tcBorders>
            <w:noWrap w:val="0"/>
            <w:tcMar>
              <w:top w:w="28" w:type="dxa"/>
              <w:left w:w="28" w:type="dxa"/>
              <w:bottom w:w="28" w:type="dxa"/>
              <w:right w:w="28" w:type="dxa"/>
            </w:tcMar>
            <w:vAlign w:val="center"/>
          </w:tcPr>
          <w:p w14:paraId="5D2C26C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牵头单位</w:t>
            </w:r>
          </w:p>
        </w:tc>
        <w:tc>
          <w:tcPr>
            <w:tcW w:w="1418" w:type="dxa"/>
            <w:tcBorders>
              <w:tl2br w:val="nil"/>
              <w:tr2bl w:val="nil"/>
            </w:tcBorders>
            <w:noWrap w:val="0"/>
            <w:tcMar>
              <w:top w:w="28" w:type="dxa"/>
              <w:left w:w="28" w:type="dxa"/>
              <w:bottom w:w="28" w:type="dxa"/>
              <w:right w:w="28" w:type="dxa"/>
            </w:tcMar>
            <w:vAlign w:val="center"/>
          </w:tcPr>
          <w:p w14:paraId="0D14FE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方正黑体_GBK" w:hAnsi="方正黑体_GBK" w:eastAsia="方正黑体_GBK" w:cs="方正黑体_GBK"/>
                <w:b w:val="0"/>
                <w:bCs w:val="0"/>
                <w:i w:val="0"/>
                <w:snapToGrid w:val="0"/>
                <w:color w:val="auto"/>
                <w:kern w:val="21"/>
                <w:sz w:val="27"/>
                <w:szCs w:val="27"/>
                <w:u w:val="none"/>
              </w:rPr>
            </w:pPr>
            <w:r>
              <w:rPr>
                <w:rFonts w:hint="eastAsia" w:ascii="方正黑体_GBK" w:hAnsi="方正黑体_GBK" w:eastAsia="方正黑体_GBK" w:cs="方正黑体_GBK"/>
                <w:b w:val="0"/>
                <w:bCs w:val="0"/>
                <w:i w:val="0"/>
                <w:snapToGrid w:val="0"/>
                <w:color w:val="auto"/>
                <w:kern w:val="21"/>
                <w:sz w:val="27"/>
                <w:szCs w:val="27"/>
                <w:u w:val="none"/>
                <w:lang w:val="en-US" w:eastAsia="zh-CN" w:bidi="ar"/>
              </w:rPr>
              <w:t>配合单位</w:t>
            </w:r>
          </w:p>
        </w:tc>
      </w:tr>
      <w:tr w14:paraId="111CA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4D581D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w:t>
            </w:r>
          </w:p>
        </w:tc>
        <w:tc>
          <w:tcPr>
            <w:tcW w:w="1414" w:type="dxa"/>
            <w:vMerge w:val="restart"/>
            <w:tcBorders>
              <w:tl2br w:val="nil"/>
              <w:tr2bl w:val="nil"/>
            </w:tcBorders>
            <w:noWrap w:val="0"/>
            <w:tcMar>
              <w:top w:w="28" w:type="dxa"/>
              <w:left w:w="28" w:type="dxa"/>
              <w:bottom w:w="28" w:type="dxa"/>
              <w:right w:w="28" w:type="dxa"/>
            </w:tcMar>
            <w:vAlign w:val="center"/>
          </w:tcPr>
          <w:p w14:paraId="5AE3BE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219C5E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加快产业体系优化升级，强化产业科技协同创新</w:t>
            </w:r>
          </w:p>
        </w:tc>
        <w:tc>
          <w:tcPr>
            <w:tcW w:w="5192" w:type="dxa"/>
            <w:tcBorders>
              <w:tl2br w:val="nil"/>
              <w:tr2bl w:val="nil"/>
            </w:tcBorders>
            <w:noWrap w:val="0"/>
            <w:tcMar>
              <w:top w:w="28" w:type="dxa"/>
              <w:left w:w="28" w:type="dxa"/>
              <w:bottom w:w="28" w:type="dxa"/>
              <w:right w:w="28" w:type="dxa"/>
            </w:tcMar>
            <w:vAlign w:val="center"/>
          </w:tcPr>
          <w:p w14:paraId="45CF3A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推进工业企业设备更新和技术改造，引导和支持企业间并购重组，新认定一批自治区级中小企业特色产业集群。滚动实施重大产业标志性工程、“双百双新”项目、“千企技改”项目。实施优势产业“串珠成链”行动和先进制造业集群培育行动。开展工业大县培育行动，建设10个左右特色产业集聚区。</w:t>
            </w:r>
          </w:p>
        </w:tc>
        <w:tc>
          <w:tcPr>
            <w:tcW w:w="2430" w:type="dxa"/>
            <w:tcBorders>
              <w:tl2br w:val="nil"/>
              <w:tr2bl w:val="nil"/>
            </w:tcBorders>
            <w:noWrap w:val="0"/>
            <w:tcMar>
              <w:top w:w="28" w:type="dxa"/>
              <w:left w:w="28" w:type="dxa"/>
              <w:bottom w:w="28" w:type="dxa"/>
              <w:right w:w="28" w:type="dxa"/>
            </w:tcMar>
            <w:vAlign w:val="center"/>
          </w:tcPr>
          <w:p w14:paraId="306379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自治区工业和信息化厅、发展改革委、数据局</w:t>
            </w:r>
          </w:p>
        </w:tc>
        <w:tc>
          <w:tcPr>
            <w:tcW w:w="1418" w:type="dxa"/>
            <w:tcBorders>
              <w:tl2br w:val="nil"/>
              <w:tr2bl w:val="nil"/>
            </w:tcBorders>
            <w:noWrap w:val="0"/>
            <w:tcMar>
              <w:top w:w="28" w:type="dxa"/>
              <w:left w:w="28" w:type="dxa"/>
              <w:bottom w:w="28" w:type="dxa"/>
              <w:right w:w="28" w:type="dxa"/>
            </w:tcMar>
            <w:vAlign w:val="center"/>
          </w:tcPr>
          <w:p w14:paraId="1F000C6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自治区国资委，各市、县人民政府</w:t>
            </w:r>
          </w:p>
        </w:tc>
      </w:tr>
      <w:tr w14:paraId="2AA5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058CE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w:t>
            </w:r>
          </w:p>
        </w:tc>
        <w:tc>
          <w:tcPr>
            <w:tcW w:w="1414" w:type="dxa"/>
            <w:vMerge w:val="continue"/>
            <w:tcBorders>
              <w:tl2br w:val="nil"/>
              <w:tr2bl w:val="nil"/>
            </w:tcBorders>
            <w:noWrap w:val="0"/>
            <w:tcMar>
              <w:top w:w="28" w:type="dxa"/>
              <w:left w:w="28" w:type="dxa"/>
              <w:bottom w:w="28" w:type="dxa"/>
              <w:right w:w="28" w:type="dxa"/>
            </w:tcMar>
            <w:vAlign w:val="center"/>
          </w:tcPr>
          <w:p w14:paraId="3256AC9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4EE360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推动数实加速融合</w:t>
            </w:r>
          </w:p>
        </w:tc>
        <w:tc>
          <w:tcPr>
            <w:tcW w:w="5192" w:type="dxa"/>
            <w:tcBorders>
              <w:tl2br w:val="nil"/>
              <w:tr2bl w:val="nil"/>
            </w:tcBorders>
            <w:noWrap w:val="0"/>
            <w:tcMar>
              <w:top w:w="28" w:type="dxa"/>
              <w:left w:w="28" w:type="dxa"/>
              <w:bottom w:w="28" w:type="dxa"/>
              <w:right w:w="28" w:type="dxa"/>
            </w:tcMar>
            <w:vAlign w:val="center"/>
          </w:tcPr>
          <w:p w14:paraId="3B5699A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持续推进南宁、柳州中小企业数字化转型试点城市建设。实施工业互联网与重点产业链“链网协同”工程，支持产业集群链式转型。</w:t>
            </w:r>
          </w:p>
        </w:tc>
        <w:tc>
          <w:tcPr>
            <w:tcW w:w="2430" w:type="dxa"/>
            <w:tcBorders>
              <w:tl2br w:val="nil"/>
              <w:tr2bl w:val="nil"/>
            </w:tcBorders>
            <w:noWrap w:val="0"/>
            <w:tcMar>
              <w:top w:w="28" w:type="dxa"/>
              <w:left w:w="28" w:type="dxa"/>
              <w:bottom w:w="28" w:type="dxa"/>
              <w:right w:w="28" w:type="dxa"/>
            </w:tcMar>
            <w:vAlign w:val="center"/>
          </w:tcPr>
          <w:p w14:paraId="2A33423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自治区工业和信息化厅，南宁、柳州市人民政府</w:t>
            </w:r>
          </w:p>
        </w:tc>
        <w:tc>
          <w:tcPr>
            <w:tcW w:w="1418" w:type="dxa"/>
            <w:tcBorders>
              <w:tl2br w:val="nil"/>
              <w:tr2bl w:val="nil"/>
            </w:tcBorders>
            <w:noWrap w:val="0"/>
            <w:tcMar>
              <w:top w:w="28" w:type="dxa"/>
              <w:left w:w="28" w:type="dxa"/>
              <w:bottom w:w="28" w:type="dxa"/>
              <w:right w:w="28" w:type="dxa"/>
            </w:tcMar>
            <w:vAlign w:val="center"/>
          </w:tcPr>
          <w:p w14:paraId="3FC0C6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其他市、县人民政府</w:t>
            </w:r>
          </w:p>
        </w:tc>
      </w:tr>
      <w:tr w14:paraId="5A3F5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4A6EF0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3</w:t>
            </w:r>
          </w:p>
        </w:tc>
        <w:tc>
          <w:tcPr>
            <w:tcW w:w="1414" w:type="dxa"/>
            <w:vMerge w:val="continue"/>
            <w:tcBorders>
              <w:tl2br w:val="nil"/>
              <w:tr2bl w:val="nil"/>
            </w:tcBorders>
            <w:noWrap w:val="0"/>
            <w:tcMar>
              <w:top w:w="28" w:type="dxa"/>
              <w:left w:w="28" w:type="dxa"/>
              <w:bottom w:w="28" w:type="dxa"/>
              <w:right w:w="28" w:type="dxa"/>
            </w:tcMar>
            <w:vAlign w:val="center"/>
          </w:tcPr>
          <w:p w14:paraId="19A0D5D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A4FA1A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加快绿色制造工程建设</w:t>
            </w:r>
          </w:p>
        </w:tc>
        <w:tc>
          <w:tcPr>
            <w:tcW w:w="5192" w:type="dxa"/>
            <w:tcBorders>
              <w:tl2br w:val="nil"/>
              <w:tr2bl w:val="nil"/>
            </w:tcBorders>
            <w:noWrap w:val="0"/>
            <w:tcMar>
              <w:top w:w="28" w:type="dxa"/>
              <w:left w:w="28" w:type="dxa"/>
              <w:bottom w:w="28" w:type="dxa"/>
              <w:right w:w="28" w:type="dxa"/>
            </w:tcMar>
            <w:vAlign w:val="center"/>
          </w:tcPr>
          <w:p w14:paraId="43DB34F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加快构建绿色制造和服务体系，创建一批绿色工厂、绿色工业园区、绿色供应链管理企业。</w:t>
            </w:r>
          </w:p>
        </w:tc>
        <w:tc>
          <w:tcPr>
            <w:tcW w:w="2430" w:type="dxa"/>
            <w:tcBorders>
              <w:tl2br w:val="nil"/>
              <w:tr2bl w:val="nil"/>
            </w:tcBorders>
            <w:noWrap w:val="0"/>
            <w:tcMar>
              <w:top w:w="28" w:type="dxa"/>
              <w:left w:w="28" w:type="dxa"/>
              <w:bottom w:w="28" w:type="dxa"/>
              <w:right w:w="28" w:type="dxa"/>
            </w:tcMar>
            <w:vAlign w:val="center"/>
          </w:tcPr>
          <w:p w14:paraId="2B10E8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w:t>
            </w:r>
          </w:p>
        </w:tc>
        <w:tc>
          <w:tcPr>
            <w:tcW w:w="1418" w:type="dxa"/>
            <w:tcBorders>
              <w:tl2br w:val="nil"/>
              <w:tr2bl w:val="nil"/>
            </w:tcBorders>
            <w:noWrap w:val="0"/>
            <w:tcMar>
              <w:top w:w="28" w:type="dxa"/>
              <w:left w:w="28" w:type="dxa"/>
              <w:bottom w:w="28" w:type="dxa"/>
              <w:right w:w="28" w:type="dxa"/>
            </w:tcMar>
            <w:vAlign w:val="center"/>
          </w:tcPr>
          <w:p w14:paraId="7ADE7C9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C35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jc w:val="center"/>
        </w:trPr>
        <w:tc>
          <w:tcPr>
            <w:tcW w:w="642" w:type="dxa"/>
            <w:tcBorders>
              <w:tl2br w:val="nil"/>
              <w:tr2bl w:val="nil"/>
            </w:tcBorders>
            <w:noWrap w:val="0"/>
            <w:tcMar>
              <w:top w:w="28" w:type="dxa"/>
              <w:left w:w="28" w:type="dxa"/>
              <w:bottom w:w="28" w:type="dxa"/>
              <w:right w:w="28" w:type="dxa"/>
            </w:tcMar>
            <w:vAlign w:val="center"/>
          </w:tcPr>
          <w:p w14:paraId="3A9DF40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4</w:t>
            </w:r>
          </w:p>
        </w:tc>
        <w:tc>
          <w:tcPr>
            <w:tcW w:w="1414" w:type="dxa"/>
            <w:vMerge w:val="restart"/>
            <w:tcBorders>
              <w:tl2br w:val="nil"/>
              <w:tr2bl w:val="nil"/>
            </w:tcBorders>
            <w:noWrap w:val="0"/>
            <w:tcMar>
              <w:top w:w="28" w:type="dxa"/>
              <w:left w:w="28" w:type="dxa"/>
              <w:bottom w:w="28" w:type="dxa"/>
              <w:right w:w="28" w:type="dxa"/>
            </w:tcMar>
            <w:vAlign w:val="center"/>
          </w:tcPr>
          <w:p w14:paraId="0C72A3C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4CC7B98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17"/>
                <w:kern w:val="21"/>
                <w:sz w:val="27"/>
                <w:szCs w:val="27"/>
                <w:u w:val="none"/>
                <w:lang w:val="en-US" w:eastAsia="zh-CN" w:bidi="ar"/>
              </w:rPr>
              <w:t>打造“人工智能</w:t>
            </w:r>
            <w:r>
              <w:rPr>
                <w:rFonts w:hint="eastAsia" w:ascii="仿宋" w:hAnsi="仿宋" w:eastAsia="仿宋" w:cs="仿宋"/>
                <w:b w:val="0"/>
                <w:bCs w:val="0"/>
                <w:i w:val="0"/>
                <w:snapToGrid w:val="0"/>
                <w:color w:val="auto"/>
                <w:spacing w:val="-17"/>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spacing w:val="-17"/>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特色营商环境</w:t>
            </w:r>
          </w:p>
        </w:tc>
        <w:tc>
          <w:tcPr>
            <w:tcW w:w="5192" w:type="dxa"/>
            <w:tcBorders>
              <w:tl2br w:val="nil"/>
              <w:tr2bl w:val="nil"/>
            </w:tcBorders>
            <w:noWrap w:val="0"/>
            <w:tcMar>
              <w:top w:w="28" w:type="dxa"/>
              <w:left w:w="28" w:type="dxa"/>
              <w:bottom w:w="28" w:type="dxa"/>
              <w:right w:w="28" w:type="dxa"/>
            </w:tcMar>
            <w:vAlign w:val="center"/>
          </w:tcPr>
          <w:p w14:paraId="7E14468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出台广西“人工智能</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”产业营商环境实施方案，围绕“人工智能</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”开展产业招商，引进一批人工智能领域项目落地我区。</w:t>
            </w:r>
          </w:p>
        </w:tc>
        <w:tc>
          <w:tcPr>
            <w:tcW w:w="2430" w:type="dxa"/>
            <w:tcBorders>
              <w:tl2br w:val="nil"/>
              <w:tr2bl w:val="nil"/>
            </w:tcBorders>
            <w:noWrap w:val="0"/>
            <w:tcMar>
              <w:top w:w="28" w:type="dxa"/>
              <w:left w:w="28" w:type="dxa"/>
              <w:bottom w:w="28" w:type="dxa"/>
              <w:right w:w="28" w:type="dxa"/>
            </w:tcMar>
            <w:vAlign w:val="center"/>
          </w:tcPr>
          <w:p w14:paraId="5231AE6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自治区发展改革委、数据局、工业和信息化厅、科技厅、园区办</w:t>
            </w:r>
          </w:p>
        </w:tc>
        <w:tc>
          <w:tcPr>
            <w:tcW w:w="1418" w:type="dxa"/>
            <w:tcBorders>
              <w:tl2br w:val="nil"/>
              <w:tr2bl w:val="nil"/>
            </w:tcBorders>
            <w:noWrap w:val="0"/>
            <w:tcMar>
              <w:top w:w="28" w:type="dxa"/>
              <w:left w:w="28" w:type="dxa"/>
              <w:bottom w:w="28" w:type="dxa"/>
              <w:right w:w="28" w:type="dxa"/>
            </w:tcMar>
            <w:vAlign w:val="center"/>
          </w:tcPr>
          <w:p w14:paraId="1AE7FF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4E12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1" w:hRule="atLeast"/>
          <w:jc w:val="center"/>
        </w:trPr>
        <w:tc>
          <w:tcPr>
            <w:tcW w:w="642" w:type="dxa"/>
            <w:tcBorders>
              <w:tl2br w:val="nil"/>
              <w:tr2bl w:val="nil"/>
            </w:tcBorders>
            <w:noWrap w:val="0"/>
            <w:tcMar>
              <w:top w:w="28" w:type="dxa"/>
              <w:left w:w="28" w:type="dxa"/>
              <w:bottom w:w="28" w:type="dxa"/>
              <w:right w:w="28" w:type="dxa"/>
            </w:tcMar>
            <w:vAlign w:val="center"/>
          </w:tcPr>
          <w:p w14:paraId="7C32D67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5</w:t>
            </w:r>
          </w:p>
        </w:tc>
        <w:tc>
          <w:tcPr>
            <w:tcW w:w="1414" w:type="dxa"/>
            <w:vMerge w:val="continue"/>
            <w:tcBorders>
              <w:tl2br w:val="nil"/>
              <w:tr2bl w:val="nil"/>
            </w:tcBorders>
            <w:noWrap w:val="0"/>
            <w:tcMar>
              <w:top w:w="28" w:type="dxa"/>
              <w:left w:w="28" w:type="dxa"/>
              <w:bottom w:w="28" w:type="dxa"/>
              <w:right w:w="28" w:type="dxa"/>
            </w:tcMar>
            <w:vAlign w:val="center"/>
          </w:tcPr>
          <w:p w14:paraId="046465F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BAE6B3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加大对重点产业链中小企业支持力度</w:t>
            </w:r>
          </w:p>
        </w:tc>
        <w:tc>
          <w:tcPr>
            <w:tcW w:w="5192" w:type="dxa"/>
            <w:tcBorders>
              <w:tl2br w:val="nil"/>
              <w:tr2bl w:val="nil"/>
            </w:tcBorders>
            <w:noWrap w:val="0"/>
            <w:tcMar>
              <w:top w:w="28" w:type="dxa"/>
              <w:left w:w="28" w:type="dxa"/>
              <w:bottom w:w="28" w:type="dxa"/>
              <w:right w:w="28" w:type="dxa"/>
            </w:tcMar>
            <w:vAlign w:val="center"/>
          </w:tcPr>
          <w:p w14:paraId="05C713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加大制造业企业扶持力度，开展“百场万企”对接和大企业“发榜”、中小企业“揭榜”活动，促进大中小企业融通发展。构建广西中小企业“1</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X</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N”〔1为自治区枢纽平台，14为各设区市窗口服务平台，X为各县（市、区）、园区服务站点，N为专业服务机构〕线下公共服务体系，形成“以点带面、连线成片、政策直享、服务直达”的服务格局。</w:t>
            </w:r>
          </w:p>
        </w:tc>
        <w:tc>
          <w:tcPr>
            <w:tcW w:w="2430" w:type="dxa"/>
            <w:tcBorders>
              <w:tl2br w:val="nil"/>
              <w:tr2bl w:val="nil"/>
            </w:tcBorders>
            <w:noWrap w:val="0"/>
            <w:tcMar>
              <w:top w:w="28" w:type="dxa"/>
              <w:left w:w="28" w:type="dxa"/>
              <w:bottom w:w="28" w:type="dxa"/>
              <w:right w:w="28" w:type="dxa"/>
            </w:tcMar>
            <w:vAlign w:val="center"/>
          </w:tcPr>
          <w:p w14:paraId="2842FFB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自治区工业和信息化厅、发展改革委、科技厅、财政厅、园区办</w:t>
            </w:r>
          </w:p>
        </w:tc>
        <w:tc>
          <w:tcPr>
            <w:tcW w:w="1418" w:type="dxa"/>
            <w:tcBorders>
              <w:tl2br w:val="nil"/>
              <w:tr2bl w:val="nil"/>
            </w:tcBorders>
            <w:noWrap w:val="0"/>
            <w:tcMar>
              <w:top w:w="28" w:type="dxa"/>
              <w:left w:w="28" w:type="dxa"/>
              <w:bottom w:w="28" w:type="dxa"/>
              <w:right w:w="28" w:type="dxa"/>
            </w:tcMar>
            <w:vAlign w:val="center"/>
          </w:tcPr>
          <w:p w14:paraId="407513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5FEB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jc w:val="center"/>
        </w:trPr>
        <w:tc>
          <w:tcPr>
            <w:tcW w:w="642" w:type="dxa"/>
            <w:tcBorders>
              <w:tl2br w:val="nil"/>
              <w:tr2bl w:val="nil"/>
            </w:tcBorders>
            <w:noWrap w:val="0"/>
            <w:tcMar>
              <w:top w:w="28" w:type="dxa"/>
              <w:left w:w="28" w:type="dxa"/>
              <w:bottom w:w="28" w:type="dxa"/>
              <w:right w:w="28" w:type="dxa"/>
            </w:tcMar>
            <w:vAlign w:val="center"/>
          </w:tcPr>
          <w:p w14:paraId="63C68F9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6</w:t>
            </w:r>
          </w:p>
        </w:tc>
        <w:tc>
          <w:tcPr>
            <w:tcW w:w="1414" w:type="dxa"/>
            <w:vMerge w:val="continue"/>
            <w:tcBorders>
              <w:tl2br w:val="nil"/>
              <w:tr2bl w:val="nil"/>
            </w:tcBorders>
            <w:noWrap w:val="0"/>
            <w:tcMar>
              <w:top w:w="28" w:type="dxa"/>
              <w:left w:w="28" w:type="dxa"/>
              <w:bottom w:w="28" w:type="dxa"/>
              <w:right w:w="28" w:type="dxa"/>
            </w:tcMar>
            <w:vAlign w:val="center"/>
          </w:tcPr>
          <w:p w14:paraId="1810C1B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514BCC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制度化推进惠企政策“免申即享”、“即申即享”</w:t>
            </w:r>
          </w:p>
        </w:tc>
        <w:tc>
          <w:tcPr>
            <w:tcW w:w="5192" w:type="dxa"/>
            <w:tcBorders>
              <w:tl2br w:val="nil"/>
              <w:tr2bl w:val="nil"/>
            </w:tcBorders>
            <w:noWrap w:val="0"/>
            <w:tcMar>
              <w:top w:w="28" w:type="dxa"/>
              <w:left w:w="28" w:type="dxa"/>
              <w:bottom w:w="28" w:type="dxa"/>
              <w:right w:w="28" w:type="dxa"/>
            </w:tcMar>
            <w:vAlign w:val="center"/>
          </w:tcPr>
          <w:p w14:paraId="11A09F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强化精准施策和政策兑现，大力推进惠企资金直达快享改革。实施项目建设质效提升和重点项目建设提速攻坚行动，用好重大工业项目前期工作周转资金，推动项目早开工、快建设、早投产。</w:t>
            </w:r>
          </w:p>
        </w:tc>
        <w:tc>
          <w:tcPr>
            <w:tcW w:w="2430" w:type="dxa"/>
            <w:tcBorders>
              <w:tl2br w:val="nil"/>
              <w:tr2bl w:val="nil"/>
            </w:tcBorders>
            <w:noWrap w:val="0"/>
            <w:tcMar>
              <w:top w:w="28" w:type="dxa"/>
              <w:left w:w="28" w:type="dxa"/>
              <w:bottom w:w="28" w:type="dxa"/>
              <w:right w:w="28" w:type="dxa"/>
            </w:tcMar>
            <w:vAlign w:val="center"/>
          </w:tcPr>
          <w:p w14:paraId="07B9A37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自治区数据局、园区办、工业和信息化厅、发展改革委、科技厅、财政厅</w:t>
            </w:r>
          </w:p>
        </w:tc>
        <w:tc>
          <w:tcPr>
            <w:tcW w:w="1418" w:type="dxa"/>
            <w:tcBorders>
              <w:tl2br w:val="nil"/>
              <w:tr2bl w:val="nil"/>
            </w:tcBorders>
            <w:noWrap w:val="0"/>
            <w:tcMar>
              <w:top w:w="28" w:type="dxa"/>
              <w:left w:w="28" w:type="dxa"/>
              <w:bottom w:w="28" w:type="dxa"/>
              <w:right w:w="28" w:type="dxa"/>
            </w:tcMar>
            <w:vAlign w:val="center"/>
          </w:tcPr>
          <w:p w14:paraId="5EFFD66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5BB3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135420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7</w:t>
            </w:r>
          </w:p>
        </w:tc>
        <w:tc>
          <w:tcPr>
            <w:tcW w:w="1414" w:type="dxa"/>
            <w:vMerge w:val="restart"/>
            <w:tcBorders>
              <w:tl2br w:val="nil"/>
              <w:tr2bl w:val="nil"/>
            </w:tcBorders>
            <w:noWrap w:val="0"/>
            <w:tcMar>
              <w:top w:w="28" w:type="dxa"/>
              <w:left w:w="28" w:type="dxa"/>
              <w:bottom w:w="28" w:type="dxa"/>
              <w:right w:w="28" w:type="dxa"/>
            </w:tcMar>
            <w:vAlign w:val="center"/>
          </w:tcPr>
          <w:p w14:paraId="38C0BB8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1DB58F3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夯实产业人才支撑</w:t>
            </w:r>
          </w:p>
        </w:tc>
        <w:tc>
          <w:tcPr>
            <w:tcW w:w="5192" w:type="dxa"/>
            <w:tcBorders>
              <w:tl2br w:val="nil"/>
              <w:tr2bl w:val="nil"/>
            </w:tcBorders>
            <w:noWrap w:val="0"/>
            <w:tcMar>
              <w:top w:w="28" w:type="dxa"/>
              <w:left w:w="28" w:type="dxa"/>
              <w:bottom w:w="28" w:type="dxa"/>
              <w:right w:w="28" w:type="dxa"/>
            </w:tcMar>
            <w:vAlign w:val="center"/>
          </w:tcPr>
          <w:p w14:paraId="25B61F7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及时发布重点产业紧缺人才目录，大力培养紧缺人才、高端人才和高素质产业工人队伍。</w:t>
            </w:r>
          </w:p>
        </w:tc>
        <w:tc>
          <w:tcPr>
            <w:tcW w:w="2430" w:type="dxa"/>
            <w:tcBorders>
              <w:tl2br w:val="nil"/>
              <w:tr2bl w:val="nil"/>
            </w:tcBorders>
            <w:noWrap w:val="0"/>
            <w:tcMar>
              <w:top w:w="28" w:type="dxa"/>
              <w:left w:w="28" w:type="dxa"/>
              <w:bottom w:w="28" w:type="dxa"/>
              <w:right w:w="28" w:type="dxa"/>
            </w:tcMar>
            <w:vAlign w:val="center"/>
          </w:tcPr>
          <w:p w14:paraId="22C1932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自治区人力资源社会保障厅，自治区总工会，各有关职能部门</w:t>
            </w:r>
          </w:p>
        </w:tc>
        <w:tc>
          <w:tcPr>
            <w:tcW w:w="1418" w:type="dxa"/>
            <w:tcBorders>
              <w:tl2br w:val="nil"/>
              <w:tr2bl w:val="nil"/>
            </w:tcBorders>
            <w:noWrap w:val="0"/>
            <w:tcMar>
              <w:top w:w="28" w:type="dxa"/>
              <w:left w:w="28" w:type="dxa"/>
              <w:bottom w:w="28" w:type="dxa"/>
              <w:right w:w="28" w:type="dxa"/>
            </w:tcMar>
            <w:vAlign w:val="center"/>
          </w:tcPr>
          <w:p w14:paraId="5E808C9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6826C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3F7C480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8</w:t>
            </w:r>
          </w:p>
        </w:tc>
        <w:tc>
          <w:tcPr>
            <w:tcW w:w="1414" w:type="dxa"/>
            <w:vMerge w:val="continue"/>
            <w:tcBorders>
              <w:tl2br w:val="nil"/>
              <w:tr2bl w:val="nil"/>
            </w:tcBorders>
            <w:noWrap w:val="0"/>
            <w:tcMar>
              <w:top w:w="28" w:type="dxa"/>
              <w:left w:w="28" w:type="dxa"/>
              <w:bottom w:w="28" w:type="dxa"/>
              <w:right w:w="28" w:type="dxa"/>
            </w:tcMar>
            <w:vAlign w:val="center"/>
          </w:tcPr>
          <w:p w14:paraId="07ADC9E1">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24EE73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创新企业融资服务，开展供需对接协作</w:t>
            </w:r>
          </w:p>
        </w:tc>
        <w:tc>
          <w:tcPr>
            <w:tcW w:w="5192" w:type="dxa"/>
            <w:tcBorders>
              <w:tl2br w:val="nil"/>
              <w:tr2bl w:val="nil"/>
            </w:tcBorders>
            <w:noWrap w:val="0"/>
            <w:tcMar>
              <w:top w:w="28" w:type="dxa"/>
              <w:left w:w="28" w:type="dxa"/>
              <w:bottom w:w="28" w:type="dxa"/>
              <w:right w:w="28" w:type="dxa"/>
            </w:tcMar>
            <w:vAlign w:val="center"/>
          </w:tcPr>
          <w:p w14:paraId="2BF8E5E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借鉴东部地区做法，探索“亩均英雄贷”金融服务模式，开展政银企、政金企融资促进活动。</w:t>
            </w:r>
          </w:p>
        </w:tc>
        <w:tc>
          <w:tcPr>
            <w:tcW w:w="2430" w:type="dxa"/>
            <w:tcBorders>
              <w:tl2br w:val="nil"/>
              <w:tr2bl w:val="nil"/>
            </w:tcBorders>
            <w:noWrap w:val="0"/>
            <w:tcMar>
              <w:top w:w="28" w:type="dxa"/>
              <w:left w:w="28" w:type="dxa"/>
              <w:bottom w:w="28" w:type="dxa"/>
              <w:right w:w="28" w:type="dxa"/>
            </w:tcMar>
            <w:vAlign w:val="center"/>
          </w:tcPr>
          <w:p w14:paraId="2D716D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自治区党委金融办，广西金融监管局，中</w:t>
            </w:r>
            <w:r>
              <w:rPr>
                <w:rFonts w:hint="eastAsia" w:ascii="Times New Roman" w:hAnsi="Times New Roman" w:eastAsia="方正仿宋_GBK" w:cs="方正仿宋_GBK"/>
                <w:b w:val="0"/>
                <w:bCs w:val="0"/>
                <w:i w:val="0"/>
                <w:snapToGrid w:val="0"/>
                <w:color w:val="auto"/>
                <w:spacing w:val="-6"/>
                <w:kern w:val="21"/>
                <w:sz w:val="27"/>
                <w:szCs w:val="27"/>
                <w:u w:val="none"/>
                <w:lang w:val="en-US" w:eastAsia="zh-CN" w:bidi="ar"/>
              </w:rPr>
              <w:t>国人民银行广西壮</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族自治区分行，自治区发展改革委、工业和信息化厅</w:t>
            </w:r>
          </w:p>
        </w:tc>
        <w:tc>
          <w:tcPr>
            <w:tcW w:w="1418" w:type="dxa"/>
            <w:tcBorders>
              <w:tl2br w:val="nil"/>
              <w:tr2bl w:val="nil"/>
            </w:tcBorders>
            <w:noWrap w:val="0"/>
            <w:tcMar>
              <w:top w:w="28" w:type="dxa"/>
              <w:left w:w="28" w:type="dxa"/>
              <w:bottom w:w="28" w:type="dxa"/>
              <w:right w:w="28" w:type="dxa"/>
            </w:tcMar>
            <w:vAlign w:val="center"/>
          </w:tcPr>
          <w:p w14:paraId="4E5DC01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25AB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642" w:type="dxa"/>
            <w:tcBorders>
              <w:tl2br w:val="nil"/>
              <w:tr2bl w:val="nil"/>
            </w:tcBorders>
            <w:noWrap w:val="0"/>
            <w:tcMar>
              <w:top w:w="28" w:type="dxa"/>
              <w:left w:w="28" w:type="dxa"/>
              <w:bottom w:w="28" w:type="dxa"/>
              <w:right w:w="28" w:type="dxa"/>
            </w:tcMar>
            <w:vAlign w:val="center"/>
          </w:tcPr>
          <w:p w14:paraId="12ED4FD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9</w:t>
            </w:r>
          </w:p>
        </w:tc>
        <w:tc>
          <w:tcPr>
            <w:tcW w:w="1414" w:type="dxa"/>
            <w:vMerge w:val="continue"/>
            <w:tcBorders>
              <w:tl2br w:val="nil"/>
              <w:tr2bl w:val="nil"/>
            </w:tcBorders>
            <w:noWrap w:val="0"/>
            <w:tcMar>
              <w:top w:w="28" w:type="dxa"/>
              <w:left w:w="28" w:type="dxa"/>
              <w:bottom w:w="28" w:type="dxa"/>
              <w:right w:w="28" w:type="dxa"/>
            </w:tcMar>
            <w:vAlign w:val="center"/>
          </w:tcPr>
          <w:p w14:paraId="50F228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3A7E184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实施重点项目技术改造</w:t>
            </w:r>
          </w:p>
        </w:tc>
        <w:tc>
          <w:tcPr>
            <w:tcW w:w="5192" w:type="dxa"/>
            <w:tcBorders>
              <w:tl2br w:val="nil"/>
              <w:tr2bl w:val="nil"/>
            </w:tcBorders>
            <w:noWrap w:val="0"/>
            <w:tcMar>
              <w:top w:w="28" w:type="dxa"/>
              <w:left w:w="28" w:type="dxa"/>
              <w:bottom w:w="28" w:type="dxa"/>
              <w:right w:w="28" w:type="dxa"/>
            </w:tcMar>
            <w:vAlign w:val="center"/>
          </w:tcPr>
          <w:p w14:paraId="10F0100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开展工业“节能诊断服务</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节能降碳技术改造”，推进一批零碳园区建设。“一企一策”支持链主企业发展，带动产业链生态发展。</w:t>
            </w:r>
          </w:p>
        </w:tc>
        <w:tc>
          <w:tcPr>
            <w:tcW w:w="2430" w:type="dxa"/>
            <w:tcBorders>
              <w:tl2br w:val="nil"/>
              <w:tr2bl w:val="nil"/>
            </w:tcBorders>
            <w:noWrap w:val="0"/>
            <w:tcMar>
              <w:top w:w="28" w:type="dxa"/>
              <w:left w:w="28" w:type="dxa"/>
              <w:bottom w:w="28" w:type="dxa"/>
              <w:right w:w="28" w:type="dxa"/>
            </w:tcMar>
            <w:vAlign w:val="center"/>
          </w:tcPr>
          <w:p w14:paraId="46FD849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自治区工业和信息化厅、园区办</w:t>
            </w:r>
          </w:p>
        </w:tc>
        <w:tc>
          <w:tcPr>
            <w:tcW w:w="1418" w:type="dxa"/>
            <w:tcBorders>
              <w:tl2br w:val="nil"/>
              <w:tr2bl w:val="nil"/>
            </w:tcBorders>
            <w:noWrap w:val="0"/>
            <w:tcMar>
              <w:top w:w="28" w:type="dxa"/>
              <w:left w:w="28" w:type="dxa"/>
              <w:bottom w:w="28" w:type="dxa"/>
              <w:right w:w="28" w:type="dxa"/>
            </w:tcMar>
            <w:vAlign w:val="center"/>
          </w:tcPr>
          <w:p w14:paraId="6E47DC8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88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13340C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10</w:t>
            </w:r>
          </w:p>
        </w:tc>
        <w:tc>
          <w:tcPr>
            <w:tcW w:w="1414" w:type="dxa"/>
            <w:vMerge w:val="continue"/>
            <w:tcBorders>
              <w:tl2br w:val="nil"/>
              <w:tr2bl w:val="nil"/>
            </w:tcBorders>
            <w:noWrap w:val="0"/>
            <w:tcMar>
              <w:top w:w="28" w:type="dxa"/>
              <w:left w:w="28" w:type="dxa"/>
              <w:bottom w:w="28" w:type="dxa"/>
              <w:right w:w="28" w:type="dxa"/>
            </w:tcMar>
            <w:vAlign w:val="center"/>
          </w:tcPr>
          <w:p w14:paraId="59804EB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3BDA666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推动工业企业设备更新和工艺升级</w:t>
            </w:r>
          </w:p>
        </w:tc>
        <w:tc>
          <w:tcPr>
            <w:tcW w:w="5192" w:type="dxa"/>
            <w:tcBorders>
              <w:tl2br w:val="nil"/>
              <w:tr2bl w:val="nil"/>
            </w:tcBorders>
            <w:noWrap w:val="0"/>
            <w:tcMar>
              <w:top w:w="28" w:type="dxa"/>
              <w:left w:w="28" w:type="dxa"/>
              <w:bottom w:w="28" w:type="dxa"/>
              <w:right w:w="28" w:type="dxa"/>
            </w:tcMar>
            <w:vAlign w:val="center"/>
          </w:tcPr>
          <w:p w14:paraId="4DCFB98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鼓励有条件的地区以工业园区、产业集群为载体，整体部署并规模化实施设备更新。进一步降低经营主体设备更新融资成本。加强设备更新贷款贴息跨部门统筹协调和信息反馈，全链条优化项目申报、要件审核、清单推送、资金发放等操作流程，提升政策透明度和知晓度。</w:t>
            </w:r>
          </w:p>
        </w:tc>
        <w:tc>
          <w:tcPr>
            <w:tcW w:w="2430" w:type="dxa"/>
            <w:tcBorders>
              <w:tl2br w:val="nil"/>
              <w:tr2bl w:val="nil"/>
            </w:tcBorders>
            <w:noWrap w:val="0"/>
            <w:tcMar>
              <w:top w:w="28" w:type="dxa"/>
              <w:left w:w="28" w:type="dxa"/>
              <w:bottom w:w="28" w:type="dxa"/>
              <w:right w:w="28" w:type="dxa"/>
            </w:tcMar>
            <w:vAlign w:val="center"/>
          </w:tcPr>
          <w:p w14:paraId="2534491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自治区工业和信息化厅、发展改革委</w:t>
            </w:r>
          </w:p>
        </w:tc>
        <w:tc>
          <w:tcPr>
            <w:tcW w:w="1418" w:type="dxa"/>
            <w:tcBorders>
              <w:tl2br w:val="nil"/>
              <w:tr2bl w:val="nil"/>
            </w:tcBorders>
            <w:noWrap w:val="0"/>
            <w:tcMar>
              <w:top w:w="28" w:type="dxa"/>
              <w:left w:w="28" w:type="dxa"/>
              <w:bottom w:w="28" w:type="dxa"/>
              <w:right w:w="28" w:type="dxa"/>
            </w:tcMar>
            <w:vAlign w:val="center"/>
          </w:tcPr>
          <w:p w14:paraId="5F80A75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w:t>
            </w:r>
            <w:r>
              <w:rPr>
                <w:rFonts w:hint="eastAsia" w:ascii="Times New Roman" w:hAnsi="Times New Roman" w:eastAsia="方正仿宋_GBK" w:cs="方正仿宋_GBK"/>
                <w:b w:val="0"/>
                <w:bCs w:val="0"/>
                <w:i w:val="0"/>
                <w:snapToGrid w:val="0"/>
                <w:color w:val="auto"/>
                <w:spacing w:val="-11"/>
                <w:kern w:val="21"/>
                <w:sz w:val="27"/>
                <w:szCs w:val="27"/>
                <w:u w:val="none"/>
                <w:lang w:val="en-US" w:eastAsia="zh-CN" w:bidi="ar"/>
              </w:rPr>
              <w:t>关职能部门，</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708D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jc w:val="center"/>
        </w:trPr>
        <w:tc>
          <w:tcPr>
            <w:tcW w:w="642" w:type="dxa"/>
            <w:tcBorders>
              <w:tl2br w:val="nil"/>
              <w:tr2bl w:val="nil"/>
            </w:tcBorders>
            <w:noWrap w:val="0"/>
            <w:tcMar>
              <w:top w:w="28" w:type="dxa"/>
              <w:left w:w="28" w:type="dxa"/>
              <w:bottom w:w="28" w:type="dxa"/>
              <w:right w:w="28" w:type="dxa"/>
            </w:tcMar>
            <w:vAlign w:val="center"/>
          </w:tcPr>
          <w:p w14:paraId="689064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11</w:t>
            </w:r>
          </w:p>
        </w:tc>
        <w:tc>
          <w:tcPr>
            <w:tcW w:w="1414" w:type="dxa"/>
            <w:vMerge w:val="restart"/>
            <w:tcBorders>
              <w:tl2br w:val="nil"/>
              <w:tr2bl w:val="nil"/>
            </w:tcBorders>
            <w:noWrap w:val="0"/>
            <w:tcMar>
              <w:top w:w="28" w:type="dxa"/>
              <w:left w:w="28" w:type="dxa"/>
              <w:bottom w:w="28" w:type="dxa"/>
              <w:right w:w="28" w:type="dxa"/>
            </w:tcMar>
            <w:vAlign w:val="center"/>
          </w:tcPr>
          <w:p w14:paraId="40C4FEE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3B8F67E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加强项目常态化储备</w:t>
            </w:r>
          </w:p>
        </w:tc>
        <w:tc>
          <w:tcPr>
            <w:tcW w:w="5192" w:type="dxa"/>
            <w:tcBorders>
              <w:tl2br w:val="nil"/>
              <w:tr2bl w:val="nil"/>
            </w:tcBorders>
            <w:noWrap w:val="0"/>
            <w:tcMar>
              <w:top w:w="28" w:type="dxa"/>
              <w:left w:w="28" w:type="dxa"/>
              <w:bottom w:w="28" w:type="dxa"/>
              <w:right w:w="28" w:type="dxa"/>
            </w:tcMar>
            <w:vAlign w:val="center"/>
          </w:tcPr>
          <w:p w14:paraId="22D861A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依托重大建设项目库，加强重点领域设备更新项目常态化储备，强化各类要素保障，提高项目成熟度和可落地性。</w:t>
            </w:r>
          </w:p>
        </w:tc>
        <w:tc>
          <w:tcPr>
            <w:tcW w:w="2430" w:type="dxa"/>
            <w:tcBorders>
              <w:tl2br w:val="nil"/>
              <w:tr2bl w:val="nil"/>
            </w:tcBorders>
            <w:noWrap w:val="0"/>
            <w:tcMar>
              <w:top w:w="28" w:type="dxa"/>
              <w:left w:w="28" w:type="dxa"/>
              <w:bottom w:w="28" w:type="dxa"/>
              <w:right w:w="28" w:type="dxa"/>
            </w:tcMar>
            <w:vAlign w:val="center"/>
          </w:tcPr>
          <w:p w14:paraId="29215BB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w:t>
            </w:r>
          </w:p>
        </w:tc>
        <w:tc>
          <w:tcPr>
            <w:tcW w:w="1418" w:type="dxa"/>
            <w:tcBorders>
              <w:tl2br w:val="nil"/>
              <w:tr2bl w:val="nil"/>
            </w:tcBorders>
            <w:noWrap w:val="0"/>
            <w:tcMar>
              <w:top w:w="28" w:type="dxa"/>
              <w:left w:w="28" w:type="dxa"/>
              <w:bottom w:w="28" w:type="dxa"/>
              <w:right w:w="28" w:type="dxa"/>
            </w:tcMar>
            <w:vAlign w:val="center"/>
          </w:tcPr>
          <w:p w14:paraId="0F3918B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7565C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jc w:val="center"/>
        </w:trPr>
        <w:tc>
          <w:tcPr>
            <w:tcW w:w="642" w:type="dxa"/>
            <w:tcBorders>
              <w:tl2br w:val="nil"/>
              <w:tr2bl w:val="nil"/>
            </w:tcBorders>
            <w:noWrap w:val="0"/>
            <w:tcMar>
              <w:top w:w="28" w:type="dxa"/>
              <w:left w:w="28" w:type="dxa"/>
              <w:bottom w:w="28" w:type="dxa"/>
              <w:right w:w="28" w:type="dxa"/>
            </w:tcMar>
            <w:vAlign w:val="center"/>
          </w:tcPr>
          <w:p w14:paraId="1F4064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12</w:t>
            </w:r>
          </w:p>
        </w:tc>
        <w:tc>
          <w:tcPr>
            <w:tcW w:w="1414" w:type="dxa"/>
            <w:vMerge w:val="continue"/>
            <w:tcBorders>
              <w:tl2br w:val="nil"/>
              <w:tr2bl w:val="nil"/>
            </w:tcBorders>
            <w:noWrap w:val="0"/>
            <w:tcMar>
              <w:top w:w="28" w:type="dxa"/>
              <w:left w:w="28" w:type="dxa"/>
              <w:bottom w:w="28" w:type="dxa"/>
              <w:right w:w="28" w:type="dxa"/>
            </w:tcMar>
            <w:vAlign w:val="center"/>
          </w:tcPr>
          <w:p w14:paraId="2E82AE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7A40D1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大力引育优质企业梯队</w:t>
            </w:r>
          </w:p>
        </w:tc>
        <w:tc>
          <w:tcPr>
            <w:tcW w:w="5192" w:type="dxa"/>
            <w:tcBorders>
              <w:tl2br w:val="nil"/>
              <w:tr2bl w:val="nil"/>
            </w:tcBorders>
            <w:noWrap w:val="0"/>
            <w:tcMar>
              <w:top w:w="28" w:type="dxa"/>
              <w:left w:w="28" w:type="dxa"/>
              <w:bottom w:w="28" w:type="dxa"/>
              <w:right w:w="28" w:type="dxa"/>
            </w:tcMar>
            <w:vAlign w:val="center"/>
          </w:tcPr>
          <w:p w14:paraId="4B25378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实施优质企业“清单化”管理，力争2025年新增规上工业企业1000家，自治区“专精特新”中小企业累计达1000家以上。</w:t>
            </w:r>
          </w:p>
        </w:tc>
        <w:tc>
          <w:tcPr>
            <w:tcW w:w="2430" w:type="dxa"/>
            <w:tcBorders>
              <w:tl2br w:val="nil"/>
              <w:tr2bl w:val="nil"/>
            </w:tcBorders>
            <w:noWrap w:val="0"/>
            <w:tcMar>
              <w:top w:w="28" w:type="dxa"/>
              <w:left w:w="28" w:type="dxa"/>
              <w:bottom w:w="28" w:type="dxa"/>
              <w:right w:w="28" w:type="dxa"/>
            </w:tcMar>
            <w:vAlign w:val="center"/>
          </w:tcPr>
          <w:p w14:paraId="258198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自治区工业和信息化厅</w:t>
            </w:r>
          </w:p>
        </w:tc>
        <w:tc>
          <w:tcPr>
            <w:tcW w:w="1418" w:type="dxa"/>
            <w:tcBorders>
              <w:tl2br w:val="nil"/>
              <w:tr2bl w:val="nil"/>
            </w:tcBorders>
            <w:noWrap w:val="0"/>
            <w:tcMar>
              <w:top w:w="28" w:type="dxa"/>
              <w:left w:w="28" w:type="dxa"/>
              <w:bottom w:w="28" w:type="dxa"/>
              <w:right w:w="28" w:type="dxa"/>
            </w:tcMar>
            <w:vAlign w:val="center"/>
          </w:tcPr>
          <w:p w14:paraId="2AC6D17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5D5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0" w:hRule="atLeast"/>
          <w:jc w:val="center"/>
        </w:trPr>
        <w:tc>
          <w:tcPr>
            <w:tcW w:w="642" w:type="dxa"/>
            <w:tcBorders>
              <w:tl2br w:val="nil"/>
              <w:tr2bl w:val="nil"/>
            </w:tcBorders>
            <w:noWrap w:val="0"/>
            <w:tcMar>
              <w:top w:w="28" w:type="dxa"/>
              <w:left w:w="28" w:type="dxa"/>
              <w:bottom w:w="28" w:type="dxa"/>
              <w:right w:w="28" w:type="dxa"/>
            </w:tcMar>
            <w:vAlign w:val="center"/>
          </w:tcPr>
          <w:p w14:paraId="3C73356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13</w:t>
            </w:r>
          </w:p>
        </w:tc>
        <w:tc>
          <w:tcPr>
            <w:tcW w:w="1414" w:type="dxa"/>
            <w:vMerge w:val="continue"/>
            <w:tcBorders>
              <w:tl2br w:val="nil"/>
              <w:tr2bl w:val="nil"/>
            </w:tcBorders>
            <w:noWrap w:val="0"/>
            <w:tcMar>
              <w:top w:w="28" w:type="dxa"/>
              <w:left w:w="28" w:type="dxa"/>
              <w:bottom w:w="28" w:type="dxa"/>
              <w:right w:w="28" w:type="dxa"/>
            </w:tcMar>
            <w:vAlign w:val="center"/>
          </w:tcPr>
          <w:p w14:paraId="51A0A79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176CA8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优化产业链大招商新机制</w:t>
            </w:r>
          </w:p>
        </w:tc>
        <w:tc>
          <w:tcPr>
            <w:tcW w:w="5192" w:type="dxa"/>
            <w:tcBorders>
              <w:tl2br w:val="nil"/>
              <w:tr2bl w:val="nil"/>
            </w:tcBorders>
            <w:noWrap w:val="0"/>
            <w:tcMar>
              <w:top w:w="28" w:type="dxa"/>
              <w:left w:w="28" w:type="dxa"/>
              <w:bottom w:w="28" w:type="dxa"/>
              <w:right w:w="28" w:type="dxa"/>
            </w:tcMar>
            <w:vAlign w:val="center"/>
          </w:tcPr>
          <w:p w14:paraId="2DE4D2A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全面系统梳理全区招商引资政策，研究提出新时期完善广西招商引资体制机制的有关意见。加强产业规划研究，联合链主企业绘制产业链关键环节、空白环节招商图谱。构建涵盖就业中介、房屋居住、生活服务、商业配套为一体的人才服务体系。依托产业联盟、行业协会等平台整合产业信息资源，健全场景供需对接机制，以应用场景优势吸引创新主体落地。聚焦招商对象诉求，梳理并填补产业细分领域政策空白，带动产业上下游精准招商。</w:t>
            </w:r>
          </w:p>
        </w:tc>
        <w:tc>
          <w:tcPr>
            <w:tcW w:w="2430" w:type="dxa"/>
            <w:tcBorders>
              <w:tl2br w:val="nil"/>
              <w:tr2bl w:val="nil"/>
            </w:tcBorders>
            <w:noWrap w:val="0"/>
            <w:tcMar>
              <w:top w:w="28" w:type="dxa"/>
              <w:left w:w="28" w:type="dxa"/>
              <w:bottom w:w="28" w:type="dxa"/>
              <w:right w:w="28" w:type="dxa"/>
            </w:tcMar>
            <w:vAlign w:val="center"/>
          </w:tcPr>
          <w:p w14:paraId="753167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自治区园区办、工业和信息化厅、人力资源社会保障厅、住房城乡建设厅、商务厅、市场监管局</w:t>
            </w:r>
          </w:p>
        </w:tc>
        <w:tc>
          <w:tcPr>
            <w:tcW w:w="1418" w:type="dxa"/>
            <w:tcBorders>
              <w:tl2br w:val="nil"/>
              <w:tr2bl w:val="nil"/>
            </w:tcBorders>
            <w:noWrap w:val="0"/>
            <w:tcMar>
              <w:top w:w="28" w:type="dxa"/>
              <w:left w:w="28" w:type="dxa"/>
              <w:bottom w:w="28" w:type="dxa"/>
              <w:right w:w="28" w:type="dxa"/>
            </w:tcMar>
            <w:vAlign w:val="center"/>
          </w:tcPr>
          <w:p w14:paraId="1E341A3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18C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24CA0F7">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14</w:t>
            </w:r>
          </w:p>
        </w:tc>
        <w:tc>
          <w:tcPr>
            <w:tcW w:w="1414" w:type="dxa"/>
            <w:tcBorders>
              <w:tl2br w:val="nil"/>
              <w:tr2bl w:val="nil"/>
            </w:tcBorders>
            <w:noWrap w:val="0"/>
            <w:tcMar>
              <w:top w:w="28" w:type="dxa"/>
              <w:left w:w="28" w:type="dxa"/>
              <w:bottom w:w="28" w:type="dxa"/>
              <w:right w:w="28" w:type="dxa"/>
            </w:tcMar>
            <w:vAlign w:val="center"/>
          </w:tcPr>
          <w:p w14:paraId="015B0B6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加强制造业营商环境建设</w:t>
            </w:r>
          </w:p>
        </w:tc>
        <w:tc>
          <w:tcPr>
            <w:tcW w:w="2000" w:type="dxa"/>
            <w:tcBorders>
              <w:tl2br w:val="nil"/>
              <w:tr2bl w:val="nil"/>
            </w:tcBorders>
            <w:noWrap w:val="0"/>
            <w:tcMar>
              <w:top w:w="28" w:type="dxa"/>
              <w:left w:w="28" w:type="dxa"/>
              <w:bottom w:w="28" w:type="dxa"/>
              <w:right w:w="28" w:type="dxa"/>
            </w:tcMar>
            <w:vAlign w:val="center"/>
          </w:tcPr>
          <w:p w14:paraId="2045408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推进产业链政务服务增值化改革</w:t>
            </w:r>
          </w:p>
        </w:tc>
        <w:tc>
          <w:tcPr>
            <w:tcW w:w="5192" w:type="dxa"/>
            <w:tcBorders>
              <w:tl2br w:val="nil"/>
              <w:tr2bl w:val="nil"/>
            </w:tcBorders>
            <w:noWrap w:val="0"/>
            <w:tcMar>
              <w:top w:w="28" w:type="dxa"/>
              <w:left w:w="28" w:type="dxa"/>
              <w:bottom w:w="28" w:type="dxa"/>
              <w:right w:w="28" w:type="dxa"/>
            </w:tcMar>
            <w:vAlign w:val="center"/>
          </w:tcPr>
          <w:p w14:paraId="34E81B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lang w:val="en"/>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印发《政务服务增值化改革试点工作方案》、涉企增值服务事项自治区级基本目录、产业链服务事项清单等。指导条件成熟的市、县产业园区开展政务服务增值化改革试点。</w:t>
            </w:r>
          </w:p>
        </w:tc>
        <w:tc>
          <w:tcPr>
            <w:tcW w:w="2430" w:type="dxa"/>
            <w:tcBorders>
              <w:tl2br w:val="nil"/>
              <w:tr2bl w:val="nil"/>
            </w:tcBorders>
            <w:noWrap w:val="0"/>
            <w:tcMar>
              <w:top w:w="28" w:type="dxa"/>
              <w:left w:w="28" w:type="dxa"/>
              <w:bottom w:w="28" w:type="dxa"/>
              <w:right w:w="28" w:type="dxa"/>
            </w:tcMar>
            <w:vAlign w:val="center"/>
          </w:tcPr>
          <w:p w14:paraId="33248B4F">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自治区园区办、数据局</w:t>
            </w:r>
          </w:p>
        </w:tc>
        <w:tc>
          <w:tcPr>
            <w:tcW w:w="1418" w:type="dxa"/>
            <w:tcBorders>
              <w:tl2br w:val="nil"/>
              <w:tr2bl w:val="nil"/>
            </w:tcBorders>
            <w:noWrap w:val="0"/>
            <w:tcMar>
              <w:top w:w="28" w:type="dxa"/>
              <w:left w:w="28" w:type="dxa"/>
              <w:bottom w:w="28" w:type="dxa"/>
              <w:right w:w="28" w:type="dxa"/>
            </w:tcMar>
            <w:vAlign w:val="center"/>
          </w:tcPr>
          <w:p w14:paraId="32086FB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7E18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D022C0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15</w:t>
            </w:r>
          </w:p>
        </w:tc>
        <w:tc>
          <w:tcPr>
            <w:tcW w:w="1414" w:type="dxa"/>
            <w:vMerge w:val="restart"/>
            <w:tcBorders>
              <w:tl2br w:val="nil"/>
              <w:tr2bl w:val="nil"/>
            </w:tcBorders>
            <w:noWrap w:val="0"/>
            <w:tcMar>
              <w:top w:w="28" w:type="dxa"/>
              <w:left w:w="28" w:type="dxa"/>
              <w:bottom w:w="28" w:type="dxa"/>
              <w:right w:w="28" w:type="dxa"/>
            </w:tcMar>
            <w:vAlign w:val="center"/>
          </w:tcPr>
          <w:p w14:paraId="3937783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强化产业营商环境监测</w:t>
            </w:r>
          </w:p>
        </w:tc>
        <w:tc>
          <w:tcPr>
            <w:tcW w:w="2000" w:type="dxa"/>
            <w:tcBorders>
              <w:tl2br w:val="nil"/>
              <w:tr2bl w:val="nil"/>
            </w:tcBorders>
            <w:noWrap w:val="0"/>
            <w:tcMar>
              <w:top w:w="28" w:type="dxa"/>
              <w:left w:w="28" w:type="dxa"/>
              <w:bottom w:w="28" w:type="dxa"/>
              <w:right w:w="28" w:type="dxa"/>
            </w:tcMar>
            <w:vAlign w:val="center"/>
          </w:tcPr>
          <w:p w14:paraId="672344B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建立健全广西产业园区营商环境监测机制</w:t>
            </w:r>
          </w:p>
        </w:tc>
        <w:tc>
          <w:tcPr>
            <w:tcW w:w="5192" w:type="dxa"/>
            <w:tcBorders>
              <w:tl2br w:val="nil"/>
              <w:tr2bl w:val="nil"/>
            </w:tcBorders>
            <w:noWrap w:val="0"/>
            <w:tcMar>
              <w:top w:w="28" w:type="dxa"/>
              <w:left w:w="28" w:type="dxa"/>
              <w:bottom w:w="28" w:type="dxa"/>
              <w:right w:w="28" w:type="dxa"/>
            </w:tcMar>
            <w:vAlign w:val="center"/>
          </w:tcPr>
          <w:p w14:paraId="72C97E7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spacing w:val="0"/>
                <w:kern w:val="21"/>
                <w:sz w:val="27"/>
                <w:szCs w:val="27"/>
                <w:u w:val="none"/>
                <w:lang w:val="en-US" w:eastAsia="zh-CN" w:bidi="ar"/>
              </w:rPr>
              <w:t>从2025年起，对全区产业园区开展监测并形成监测报告。</w:t>
            </w:r>
          </w:p>
        </w:tc>
        <w:tc>
          <w:tcPr>
            <w:tcW w:w="2430" w:type="dxa"/>
            <w:tcBorders>
              <w:tl2br w:val="nil"/>
              <w:tr2bl w:val="nil"/>
            </w:tcBorders>
            <w:noWrap w:val="0"/>
            <w:tcMar>
              <w:top w:w="28" w:type="dxa"/>
              <w:left w:w="28" w:type="dxa"/>
              <w:bottom w:w="28" w:type="dxa"/>
              <w:right w:w="28" w:type="dxa"/>
            </w:tcMar>
            <w:vAlign w:val="center"/>
          </w:tcPr>
          <w:p w14:paraId="01A7EA9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自治区发展改革委、园区办</w:t>
            </w:r>
          </w:p>
        </w:tc>
        <w:tc>
          <w:tcPr>
            <w:tcW w:w="1418" w:type="dxa"/>
            <w:tcBorders>
              <w:tl2br w:val="nil"/>
              <w:tr2bl w:val="nil"/>
            </w:tcBorders>
            <w:noWrap w:val="0"/>
            <w:tcMar>
              <w:top w:w="28" w:type="dxa"/>
              <w:left w:w="28" w:type="dxa"/>
              <w:bottom w:w="28" w:type="dxa"/>
              <w:right w:w="28" w:type="dxa"/>
            </w:tcMar>
            <w:vAlign w:val="center"/>
          </w:tcPr>
          <w:p w14:paraId="46B30F5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951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5DAA4CD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16</w:t>
            </w:r>
          </w:p>
        </w:tc>
        <w:tc>
          <w:tcPr>
            <w:tcW w:w="1414" w:type="dxa"/>
            <w:vMerge w:val="continue"/>
            <w:tcBorders>
              <w:tl2br w:val="nil"/>
              <w:tr2bl w:val="nil"/>
            </w:tcBorders>
            <w:noWrap w:val="0"/>
            <w:tcMar>
              <w:top w:w="28" w:type="dxa"/>
              <w:left w:w="28" w:type="dxa"/>
              <w:bottom w:w="28" w:type="dxa"/>
              <w:right w:w="28" w:type="dxa"/>
            </w:tcMar>
            <w:vAlign w:val="center"/>
          </w:tcPr>
          <w:p w14:paraId="26A0E49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B3870D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优化产业园区营商环境监测方式</w:t>
            </w:r>
          </w:p>
        </w:tc>
        <w:tc>
          <w:tcPr>
            <w:tcW w:w="5192" w:type="dxa"/>
            <w:tcBorders>
              <w:tl2br w:val="nil"/>
              <w:tr2bl w:val="nil"/>
            </w:tcBorders>
            <w:noWrap w:val="0"/>
            <w:tcMar>
              <w:top w:w="28" w:type="dxa"/>
              <w:left w:w="28" w:type="dxa"/>
              <w:bottom w:w="28" w:type="dxa"/>
              <w:right w:w="28" w:type="dxa"/>
            </w:tcMar>
            <w:vAlign w:val="center"/>
          </w:tcPr>
          <w:p w14:paraId="5E0D11E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将产业园区监测方式从“有感”向“无感”转变，重点从产业园区帮助企业解决问题诉求的过程和表现反向监测园区的营商环境建设情况，尽量避免让产业园区报送各类数据和佐证材料。依托广西营商环境“智管云”平台，建设产业园区营商环境监测模块。</w:t>
            </w:r>
          </w:p>
        </w:tc>
        <w:tc>
          <w:tcPr>
            <w:tcW w:w="2430" w:type="dxa"/>
            <w:tcBorders>
              <w:tl2br w:val="nil"/>
              <w:tr2bl w:val="nil"/>
            </w:tcBorders>
            <w:noWrap w:val="0"/>
            <w:tcMar>
              <w:top w:w="28" w:type="dxa"/>
              <w:left w:w="28" w:type="dxa"/>
              <w:bottom w:w="28" w:type="dxa"/>
              <w:right w:w="28" w:type="dxa"/>
            </w:tcMar>
            <w:vAlign w:val="center"/>
          </w:tcPr>
          <w:p w14:paraId="54C43ED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自治区发展改革委、园区办</w:t>
            </w:r>
          </w:p>
        </w:tc>
        <w:tc>
          <w:tcPr>
            <w:tcW w:w="1418" w:type="dxa"/>
            <w:tcBorders>
              <w:tl2br w:val="nil"/>
              <w:tr2bl w:val="nil"/>
            </w:tcBorders>
            <w:noWrap w:val="0"/>
            <w:tcMar>
              <w:top w:w="28" w:type="dxa"/>
              <w:left w:w="28" w:type="dxa"/>
              <w:bottom w:w="28" w:type="dxa"/>
              <w:right w:w="28" w:type="dxa"/>
            </w:tcMar>
            <w:vAlign w:val="center"/>
          </w:tcPr>
          <w:p w14:paraId="3A56D34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4495B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66A37C2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17</w:t>
            </w:r>
          </w:p>
        </w:tc>
        <w:tc>
          <w:tcPr>
            <w:tcW w:w="1414" w:type="dxa"/>
            <w:vMerge w:val="continue"/>
            <w:tcBorders>
              <w:tl2br w:val="nil"/>
              <w:tr2bl w:val="nil"/>
            </w:tcBorders>
            <w:noWrap w:val="0"/>
            <w:tcMar>
              <w:top w:w="28" w:type="dxa"/>
              <w:left w:w="28" w:type="dxa"/>
              <w:bottom w:w="28" w:type="dxa"/>
              <w:right w:w="28" w:type="dxa"/>
            </w:tcMar>
            <w:vAlign w:val="center"/>
          </w:tcPr>
          <w:p w14:paraId="67367F1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1DDD3B2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提升产业园区经营主体反映问题响应处置能力和水平</w:t>
            </w:r>
          </w:p>
        </w:tc>
        <w:tc>
          <w:tcPr>
            <w:tcW w:w="5192" w:type="dxa"/>
            <w:tcBorders>
              <w:tl2br w:val="nil"/>
              <w:tr2bl w:val="nil"/>
            </w:tcBorders>
            <w:noWrap w:val="0"/>
            <w:tcMar>
              <w:top w:w="28" w:type="dxa"/>
              <w:left w:w="28" w:type="dxa"/>
              <w:bottom w:w="28" w:type="dxa"/>
              <w:right w:w="28" w:type="dxa"/>
            </w:tcMar>
            <w:vAlign w:val="center"/>
          </w:tcPr>
          <w:p w14:paraId="24E2387A">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畅通园区企业依托12345政务服务便民热线产业园区服务专线（12345-1-4）反映问题和诉求渠道。进一步提升园区企业反映问题工单的解决率和满意度。</w:t>
            </w:r>
          </w:p>
        </w:tc>
        <w:tc>
          <w:tcPr>
            <w:tcW w:w="2430" w:type="dxa"/>
            <w:tcBorders>
              <w:tl2br w:val="nil"/>
              <w:tr2bl w:val="nil"/>
            </w:tcBorders>
            <w:noWrap w:val="0"/>
            <w:tcMar>
              <w:top w:w="28" w:type="dxa"/>
              <w:left w:w="28" w:type="dxa"/>
              <w:bottom w:w="28" w:type="dxa"/>
              <w:right w:w="28" w:type="dxa"/>
            </w:tcMar>
            <w:vAlign w:val="center"/>
          </w:tcPr>
          <w:p w14:paraId="6A9D08A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自治区市场监管局、数据局、园区办、发展改革委</w:t>
            </w:r>
          </w:p>
        </w:tc>
        <w:tc>
          <w:tcPr>
            <w:tcW w:w="1418" w:type="dxa"/>
            <w:tcBorders>
              <w:tl2br w:val="nil"/>
              <w:tr2bl w:val="nil"/>
            </w:tcBorders>
            <w:noWrap w:val="0"/>
            <w:tcMar>
              <w:top w:w="28" w:type="dxa"/>
              <w:left w:w="28" w:type="dxa"/>
              <w:bottom w:w="28" w:type="dxa"/>
              <w:right w:w="28" w:type="dxa"/>
            </w:tcMar>
            <w:vAlign w:val="center"/>
          </w:tcPr>
          <w:p w14:paraId="5C0EA44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32F7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642" w:type="dxa"/>
            <w:tcBorders>
              <w:tl2br w:val="nil"/>
              <w:tr2bl w:val="nil"/>
            </w:tcBorders>
            <w:noWrap w:val="0"/>
            <w:tcMar>
              <w:top w:w="28" w:type="dxa"/>
              <w:left w:w="28" w:type="dxa"/>
              <w:bottom w:w="28" w:type="dxa"/>
              <w:right w:w="28" w:type="dxa"/>
            </w:tcMar>
            <w:vAlign w:val="center"/>
          </w:tcPr>
          <w:p w14:paraId="057630D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18</w:t>
            </w:r>
          </w:p>
        </w:tc>
        <w:tc>
          <w:tcPr>
            <w:tcW w:w="1414" w:type="dxa"/>
            <w:vMerge w:val="continue"/>
            <w:tcBorders>
              <w:tl2br w:val="nil"/>
              <w:tr2bl w:val="nil"/>
            </w:tcBorders>
            <w:noWrap w:val="0"/>
            <w:tcMar>
              <w:top w:w="28" w:type="dxa"/>
              <w:left w:w="28" w:type="dxa"/>
              <w:bottom w:w="28" w:type="dxa"/>
              <w:right w:w="28" w:type="dxa"/>
            </w:tcMar>
            <w:vAlign w:val="center"/>
          </w:tcPr>
          <w:p w14:paraId="5457E95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2FAE580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持续开展满意度调查</w:t>
            </w:r>
          </w:p>
        </w:tc>
        <w:tc>
          <w:tcPr>
            <w:tcW w:w="5192" w:type="dxa"/>
            <w:tcBorders>
              <w:tl2br w:val="nil"/>
              <w:tr2bl w:val="nil"/>
            </w:tcBorders>
            <w:noWrap w:val="0"/>
            <w:tcMar>
              <w:top w:w="28" w:type="dxa"/>
              <w:left w:w="28" w:type="dxa"/>
              <w:bottom w:w="28" w:type="dxa"/>
              <w:right w:w="28" w:type="dxa"/>
            </w:tcMar>
            <w:vAlign w:val="center"/>
          </w:tcPr>
          <w:p w14:paraId="4E9C99D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按季度开展优化营商环境满意度调查。</w:t>
            </w:r>
          </w:p>
        </w:tc>
        <w:tc>
          <w:tcPr>
            <w:tcW w:w="2430" w:type="dxa"/>
            <w:tcBorders>
              <w:tl2br w:val="nil"/>
              <w:tr2bl w:val="nil"/>
            </w:tcBorders>
            <w:noWrap w:val="0"/>
            <w:tcMar>
              <w:top w:w="28" w:type="dxa"/>
              <w:left w:w="28" w:type="dxa"/>
              <w:bottom w:w="28" w:type="dxa"/>
              <w:right w:w="28" w:type="dxa"/>
            </w:tcMar>
            <w:vAlign w:val="center"/>
          </w:tcPr>
          <w:p w14:paraId="0FBD104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自治区统计局</w:t>
            </w:r>
          </w:p>
        </w:tc>
        <w:tc>
          <w:tcPr>
            <w:tcW w:w="1418" w:type="dxa"/>
            <w:tcBorders>
              <w:tl2br w:val="nil"/>
              <w:tr2bl w:val="nil"/>
            </w:tcBorders>
            <w:noWrap w:val="0"/>
            <w:tcMar>
              <w:top w:w="28" w:type="dxa"/>
              <w:left w:w="28" w:type="dxa"/>
              <w:bottom w:w="28" w:type="dxa"/>
              <w:right w:w="28" w:type="dxa"/>
            </w:tcMar>
            <w:vAlign w:val="center"/>
          </w:tcPr>
          <w:p w14:paraId="36A85B5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4EA03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jc w:val="center"/>
        </w:trPr>
        <w:tc>
          <w:tcPr>
            <w:tcW w:w="642" w:type="dxa"/>
            <w:tcBorders>
              <w:tl2br w:val="nil"/>
              <w:tr2bl w:val="nil"/>
            </w:tcBorders>
            <w:noWrap w:val="0"/>
            <w:tcMar>
              <w:top w:w="28" w:type="dxa"/>
              <w:left w:w="28" w:type="dxa"/>
              <w:bottom w:w="28" w:type="dxa"/>
              <w:right w:w="28" w:type="dxa"/>
            </w:tcMar>
            <w:vAlign w:val="center"/>
          </w:tcPr>
          <w:p w14:paraId="2073719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19</w:t>
            </w:r>
          </w:p>
        </w:tc>
        <w:tc>
          <w:tcPr>
            <w:tcW w:w="1414" w:type="dxa"/>
            <w:tcBorders>
              <w:tl2br w:val="nil"/>
              <w:tr2bl w:val="nil"/>
            </w:tcBorders>
            <w:noWrap w:val="0"/>
            <w:tcMar>
              <w:top w:w="28" w:type="dxa"/>
              <w:left w:w="28" w:type="dxa"/>
              <w:bottom w:w="28" w:type="dxa"/>
              <w:right w:w="28" w:type="dxa"/>
            </w:tcMar>
            <w:vAlign w:val="center"/>
          </w:tcPr>
          <w:p w14:paraId="7922BBC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6A6176C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鼓励各地在新业态新领域制定优化市场环境措施</w:t>
            </w:r>
          </w:p>
        </w:tc>
        <w:tc>
          <w:tcPr>
            <w:tcW w:w="5192" w:type="dxa"/>
            <w:tcBorders>
              <w:tl2br w:val="nil"/>
              <w:tr2bl w:val="nil"/>
            </w:tcBorders>
            <w:noWrap w:val="0"/>
            <w:tcMar>
              <w:top w:w="28" w:type="dxa"/>
              <w:left w:w="28" w:type="dxa"/>
              <w:bottom w:w="28" w:type="dxa"/>
              <w:right w:w="28" w:type="dxa"/>
            </w:tcMar>
            <w:vAlign w:val="center"/>
          </w:tcPr>
          <w:p w14:paraId="29511D60">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围绕人工智能、新一代信息技术、新材料、高端装备、新能源、生物制造、低空经济等新兴产业和未来产业，按照标准引领、场景开放、市场推动、产业聚集、体系升级的原则和路径，分领域制定优化市场环境措施。</w:t>
            </w:r>
          </w:p>
        </w:tc>
        <w:tc>
          <w:tcPr>
            <w:tcW w:w="2430" w:type="dxa"/>
            <w:tcBorders>
              <w:tl2br w:val="nil"/>
              <w:tr2bl w:val="nil"/>
            </w:tcBorders>
            <w:noWrap w:val="0"/>
            <w:tcMar>
              <w:top w:w="28" w:type="dxa"/>
              <w:left w:w="28" w:type="dxa"/>
              <w:bottom w:w="28" w:type="dxa"/>
              <w:right w:w="28" w:type="dxa"/>
            </w:tcMar>
            <w:vAlign w:val="center"/>
          </w:tcPr>
          <w:p w14:paraId="79E00C54">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1418" w:type="dxa"/>
            <w:tcBorders>
              <w:tl2br w:val="nil"/>
              <w:tr2bl w:val="nil"/>
            </w:tcBorders>
            <w:noWrap w:val="0"/>
            <w:tcMar>
              <w:top w:w="28" w:type="dxa"/>
              <w:left w:w="28" w:type="dxa"/>
              <w:bottom w:w="28" w:type="dxa"/>
              <w:right w:w="28" w:type="dxa"/>
            </w:tcMar>
            <w:vAlign w:val="center"/>
          </w:tcPr>
          <w:p w14:paraId="0D841C5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0225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7" w:hRule="atLeast"/>
          <w:jc w:val="center"/>
        </w:trPr>
        <w:tc>
          <w:tcPr>
            <w:tcW w:w="642" w:type="dxa"/>
            <w:tcBorders>
              <w:tl2br w:val="nil"/>
              <w:tr2bl w:val="nil"/>
            </w:tcBorders>
            <w:noWrap w:val="0"/>
            <w:tcMar>
              <w:top w:w="28" w:type="dxa"/>
              <w:left w:w="28" w:type="dxa"/>
              <w:bottom w:w="28" w:type="dxa"/>
              <w:right w:w="28" w:type="dxa"/>
            </w:tcMar>
            <w:vAlign w:val="center"/>
          </w:tcPr>
          <w:p w14:paraId="0A7ED1C8">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20</w:t>
            </w:r>
          </w:p>
        </w:tc>
        <w:tc>
          <w:tcPr>
            <w:tcW w:w="1414" w:type="dxa"/>
            <w:vMerge w:val="restart"/>
            <w:tcBorders>
              <w:tl2br w:val="nil"/>
              <w:tr2bl w:val="nil"/>
            </w:tcBorders>
            <w:noWrap w:val="0"/>
            <w:tcMar>
              <w:top w:w="28" w:type="dxa"/>
              <w:left w:w="28" w:type="dxa"/>
              <w:bottom w:w="28" w:type="dxa"/>
              <w:right w:w="28" w:type="dxa"/>
            </w:tcMar>
            <w:vAlign w:val="center"/>
          </w:tcPr>
          <w:p w14:paraId="04C355EF">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5066793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对新产业新业态更多采取包容审慎监管、柔性执法、容缺办理等措施</w:t>
            </w:r>
          </w:p>
        </w:tc>
        <w:tc>
          <w:tcPr>
            <w:tcW w:w="5192" w:type="dxa"/>
            <w:tcBorders>
              <w:tl2br w:val="nil"/>
              <w:tr2bl w:val="nil"/>
            </w:tcBorders>
            <w:noWrap w:val="0"/>
            <w:tcMar>
              <w:top w:w="28" w:type="dxa"/>
              <w:left w:w="28" w:type="dxa"/>
              <w:bottom w:w="28" w:type="dxa"/>
              <w:right w:w="28" w:type="dxa"/>
            </w:tcMar>
            <w:vAlign w:val="center"/>
          </w:tcPr>
          <w:p w14:paraId="7DAE85D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对人工智能、新一代信息技术、新材料、高端装备、新能源、生物制造、低空经济等新产业新业态创新审批模式，探索采取“沙盒监管”等包容审慎措施，量身定制“一业一策”许可方案，梳理形成许可规范，出台便利化措施管理政策等。</w:t>
            </w:r>
          </w:p>
        </w:tc>
        <w:tc>
          <w:tcPr>
            <w:tcW w:w="2430" w:type="dxa"/>
            <w:tcBorders>
              <w:tl2br w:val="nil"/>
              <w:tr2bl w:val="nil"/>
            </w:tcBorders>
            <w:noWrap w:val="0"/>
            <w:tcMar>
              <w:top w:w="28" w:type="dxa"/>
              <w:left w:w="28" w:type="dxa"/>
              <w:bottom w:w="28" w:type="dxa"/>
              <w:right w:w="28" w:type="dxa"/>
            </w:tcMar>
            <w:vAlign w:val="center"/>
          </w:tcPr>
          <w:p w14:paraId="6C2B640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w:t>
            </w:r>
          </w:p>
        </w:tc>
        <w:tc>
          <w:tcPr>
            <w:tcW w:w="1418" w:type="dxa"/>
            <w:tcBorders>
              <w:tl2br w:val="nil"/>
              <w:tr2bl w:val="nil"/>
            </w:tcBorders>
            <w:noWrap w:val="0"/>
            <w:tcMar>
              <w:top w:w="28" w:type="dxa"/>
              <w:left w:w="28" w:type="dxa"/>
              <w:bottom w:w="28" w:type="dxa"/>
              <w:right w:w="28" w:type="dxa"/>
            </w:tcMar>
            <w:vAlign w:val="center"/>
          </w:tcPr>
          <w:p w14:paraId="430DCED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各市、县人民政府</w:t>
            </w:r>
          </w:p>
        </w:tc>
      </w:tr>
      <w:tr w14:paraId="1344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1" w:hRule="atLeast"/>
          <w:jc w:val="center"/>
        </w:trPr>
        <w:tc>
          <w:tcPr>
            <w:tcW w:w="642" w:type="dxa"/>
            <w:tcBorders>
              <w:tl2br w:val="nil"/>
              <w:tr2bl w:val="nil"/>
            </w:tcBorders>
            <w:noWrap w:val="0"/>
            <w:tcMar>
              <w:top w:w="28" w:type="dxa"/>
              <w:left w:w="28" w:type="dxa"/>
              <w:bottom w:w="28" w:type="dxa"/>
              <w:right w:w="28" w:type="dxa"/>
            </w:tcMar>
            <w:vAlign w:val="center"/>
          </w:tcPr>
          <w:p w14:paraId="7EBE9B8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21</w:t>
            </w:r>
          </w:p>
        </w:tc>
        <w:tc>
          <w:tcPr>
            <w:tcW w:w="1414" w:type="dxa"/>
            <w:vMerge w:val="continue"/>
            <w:tcBorders>
              <w:tl2br w:val="nil"/>
              <w:tr2bl w:val="nil"/>
            </w:tcBorders>
            <w:noWrap w:val="0"/>
            <w:tcMar>
              <w:top w:w="28" w:type="dxa"/>
              <w:left w:w="28" w:type="dxa"/>
              <w:bottom w:w="28" w:type="dxa"/>
              <w:right w:w="28" w:type="dxa"/>
            </w:tcMar>
            <w:vAlign w:val="center"/>
          </w:tcPr>
          <w:p w14:paraId="2F567AD8">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70750C2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大力营造鼓励产业创新的环境</w:t>
            </w:r>
          </w:p>
        </w:tc>
        <w:tc>
          <w:tcPr>
            <w:tcW w:w="5192" w:type="dxa"/>
            <w:tcBorders>
              <w:tl2br w:val="nil"/>
              <w:tr2bl w:val="nil"/>
            </w:tcBorders>
            <w:noWrap w:val="0"/>
            <w:tcMar>
              <w:top w:w="28" w:type="dxa"/>
              <w:left w:w="28" w:type="dxa"/>
              <w:bottom w:w="28" w:type="dxa"/>
              <w:right w:w="28" w:type="dxa"/>
            </w:tcMar>
            <w:vAlign w:val="center"/>
          </w:tcPr>
          <w:p w14:paraId="74CFCB6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深入开展科技成果评价，加快完善科技成果从研发端向企业端转化的相关机制，突出企业创新主体地位，发挥技术经理人、行业协会等在科技成果转化中的积极作用。</w:t>
            </w:r>
          </w:p>
        </w:tc>
        <w:tc>
          <w:tcPr>
            <w:tcW w:w="2430" w:type="dxa"/>
            <w:tcBorders>
              <w:tl2br w:val="nil"/>
              <w:tr2bl w:val="nil"/>
            </w:tcBorders>
            <w:noWrap w:val="0"/>
            <w:tcMar>
              <w:top w:w="28" w:type="dxa"/>
              <w:left w:w="28" w:type="dxa"/>
              <w:bottom w:w="28" w:type="dxa"/>
              <w:right w:w="28" w:type="dxa"/>
            </w:tcMar>
            <w:vAlign w:val="center"/>
          </w:tcPr>
          <w:p w14:paraId="65B2061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自治区科技厅、工业和信息化厅</w:t>
            </w:r>
          </w:p>
        </w:tc>
        <w:tc>
          <w:tcPr>
            <w:tcW w:w="1418" w:type="dxa"/>
            <w:tcBorders>
              <w:tl2br w:val="nil"/>
              <w:tr2bl w:val="nil"/>
            </w:tcBorders>
            <w:noWrap w:val="0"/>
            <w:tcMar>
              <w:top w:w="28" w:type="dxa"/>
              <w:left w:w="28" w:type="dxa"/>
              <w:bottom w:w="28" w:type="dxa"/>
              <w:right w:w="28" w:type="dxa"/>
            </w:tcMar>
            <w:vAlign w:val="center"/>
          </w:tcPr>
          <w:p w14:paraId="537F66F3">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6B04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4" w:hRule="atLeast"/>
          <w:jc w:val="center"/>
        </w:trPr>
        <w:tc>
          <w:tcPr>
            <w:tcW w:w="642" w:type="dxa"/>
            <w:tcBorders>
              <w:tl2br w:val="nil"/>
              <w:tr2bl w:val="nil"/>
            </w:tcBorders>
            <w:noWrap w:val="0"/>
            <w:tcMar>
              <w:top w:w="28" w:type="dxa"/>
              <w:left w:w="28" w:type="dxa"/>
              <w:bottom w:w="28" w:type="dxa"/>
              <w:right w:w="28" w:type="dxa"/>
            </w:tcMar>
            <w:vAlign w:val="center"/>
          </w:tcPr>
          <w:p w14:paraId="500F029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22</w:t>
            </w:r>
          </w:p>
        </w:tc>
        <w:tc>
          <w:tcPr>
            <w:tcW w:w="1414" w:type="dxa"/>
            <w:vMerge w:val="restart"/>
            <w:tcBorders>
              <w:tl2br w:val="nil"/>
              <w:tr2bl w:val="nil"/>
            </w:tcBorders>
            <w:noWrap w:val="0"/>
            <w:tcMar>
              <w:top w:w="28" w:type="dxa"/>
              <w:left w:w="28" w:type="dxa"/>
              <w:bottom w:w="28" w:type="dxa"/>
              <w:right w:w="28" w:type="dxa"/>
            </w:tcMar>
            <w:vAlign w:val="center"/>
          </w:tcPr>
          <w:p w14:paraId="43823D8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营造发展新质生产力良好环境</w:t>
            </w:r>
          </w:p>
        </w:tc>
        <w:tc>
          <w:tcPr>
            <w:tcW w:w="2000" w:type="dxa"/>
            <w:tcBorders>
              <w:tl2br w:val="nil"/>
              <w:tr2bl w:val="nil"/>
            </w:tcBorders>
            <w:noWrap w:val="0"/>
            <w:tcMar>
              <w:top w:w="28" w:type="dxa"/>
              <w:left w:w="28" w:type="dxa"/>
              <w:bottom w:w="28" w:type="dxa"/>
              <w:right w:w="28" w:type="dxa"/>
            </w:tcMar>
            <w:vAlign w:val="center"/>
          </w:tcPr>
          <w:p w14:paraId="1F2E6912">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加强创新要素集聚，搭建全链条创新服务体系，打通全链条孵化服务体系</w:t>
            </w:r>
          </w:p>
        </w:tc>
        <w:tc>
          <w:tcPr>
            <w:tcW w:w="5192" w:type="dxa"/>
            <w:tcBorders>
              <w:tl2br w:val="nil"/>
              <w:tr2bl w:val="nil"/>
            </w:tcBorders>
            <w:noWrap w:val="0"/>
            <w:tcMar>
              <w:top w:w="28" w:type="dxa"/>
              <w:left w:w="28" w:type="dxa"/>
              <w:bottom w:w="28" w:type="dxa"/>
              <w:right w:w="28" w:type="dxa"/>
            </w:tcMar>
            <w:vAlign w:val="center"/>
          </w:tcPr>
          <w:p w14:paraId="55DCFFA5">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梳理评估全区中试平台建设进展，研究推动全区中试平台发展的政策举措和工作机制。探索建设覆盖全区的中试服务共享网络，形成涵盖解决方案、需求发布、典型案例等功能的中试服务体系，促进中试服务资源共享和供需对接。</w:t>
            </w:r>
          </w:p>
        </w:tc>
        <w:tc>
          <w:tcPr>
            <w:tcW w:w="2430" w:type="dxa"/>
            <w:tcBorders>
              <w:tl2br w:val="nil"/>
              <w:tr2bl w:val="nil"/>
            </w:tcBorders>
            <w:noWrap w:val="0"/>
            <w:tcMar>
              <w:top w:w="28" w:type="dxa"/>
              <w:left w:w="28" w:type="dxa"/>
              <w:bottom w:w="28" w:type="dxa"/>
              <w:right w:w="28" w:type="dxa"/>
            </w:tcMar>
            <w:vAlign w:val="center"/>
          </w:tcPr>
          <w:p w14:paraId="69CA0FED">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自治区发展改革委、科技厅</w:t>
            </w:r>
          </w:p>
        </w:tc>
        <w:tc>
          <w:tcPr>
            <w:tcW w:w="1418" w:type="dxa"/>
            <w:tcBorders>
              <w:tl2br w:val="nil"/>
              <w:tr2bl w:val="nil"/>
            </w:tcBorders>
            <w:noWrap w:val="0"/>
            <w:tcMar>
              <w:top w:w="28" w:type="dxa"/>
              <w:left w:w="28" w:type="dxa"/>
              <w:bottom w:w="28" w:type="dxa"/>
              <w:right w:w="28" w:type="dxa"/>
            </w:tcMar>
            <w:vAlign w:val="center"/>
          </w:tcPr>
          <w:p w14:paraId="64B72D0B">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r w14:paraId="20A6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jc w:val="center"/>
        </w:trPr>
        <w:tc>
          <w:tcPr>
            <w:tcW w:w="642" w:type="dxa"/>
            <w:tcBorders>
              <w:tl2br w:val="nil"/>
              <w:tr2bl w:val="nil"/>
            </w:tcBorders>
            <w:noWrap w:val="0"/>
            <w:tcMar>
              <w:top w:w="28" w:type="dxa"/>
              <w:left w:w="28" w:type="dxa"/>
              <w:bottom w:w="28" w:type="dxa"/>
              <w:right w:w="28" w:type="dxa"/>
            </w:tcMar>
            <w:vAlign w:val="center"/>
          </w:tcPr>
          <w:p w14:paraId="4E3D79B9">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center"/>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23</w:t>
            </w:r>
          </w:p>
        </w:tc>
        <w:tc>
          <w:tcPr>
            <w:tcW w:w="1414" w:type="dxa"/>
            <w:vMerge w:val="continue"/>
            <w:tcBorders>
              <w:tl2br w:val="nil"/>
              <w:tr2bl w:val="nil"/>
            </w:tcBorders>
            <w:noWrap w:val="0"/>
            <w:tcMar>
              <w:top w:w="28" w:type="dxa"/>
              <w:left w:w="28" w:type="dxa"/>
              <w:bottom w:w="28" w:type="dxa"/>
              <w:right w:w="28" w:type="dxa"/>
            </w:tcMar>
            <w:vAlign w:val="center"/>
          </w:tcPr>
          <w:p w14:paraId="2D68882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p>
        </w:tc>
        <w:tc>
          <w:tcPr>
            <w:tcW w:w="2000" w:type="dxa"/>
            <w:tcBorders>
              <w:tl2br w:val="nil"/>
              <w:tr2bl w:val="nil"/>
            </w:tcBorders>
            <w:noWrap w:val="0"/>
            <w:tcMar>
              <w:top w:w="28" w:type="dxa"/>
              <w:left w:w="28" w:type="dxa"/>
              <w:bottom w:w="28" w:type="dxa"/>
              <w:right w:w="28" w:type="dxa"/>
            </w:tcMar>
            <w:vAlign w:val="center"/>
          </w:tcPr>
          <w:p w14:paraId="4CEFBDC6">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构建“政、产、学、研、用、金”六位一体的科技成果转化服务体系</w:t>
            </w:r>
          </w:p>
        </w:tc>
        <w:tc>
          <w:tcPr>
            <w:tcW w:w="5192" w:type="dxa"/>
            <w:tcBorders>
              <w:tl2br w:val="nil"/>
              <w:tr2bl w:val="nil"/>
            </w:tcBorders>
            <w:noWrap w:val="0"/>
            <w:tcMar>
              <w:top w:w="28" w:type="dxa"/>
              <w:left w:w="28" w:type="dxa"/>
              <w:bottom w:w="28" w:type="dxa"/>
              <w:right w:w="28" w:type="dxa"/>
            </w:tcMar>
            <w:vAlign w:val="center"/>
          </w:tcPr>
          <w:p w14:paraId="0B625F21">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以推动科技成果就地转化和产业应用为着力点，以产业发展需求为导向，建立健全“产业引领</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政府引导</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经营主体</w:t>
            </w:r>
            <w:r>
              <w:rPr>
                <w:rFonts w:hint="eastAsia" w:ascii="仿宋" w:hAnsi="仿宋" w:eastAsia="仿宋" w:cs="仿宋"/>
                <w:b w:val="0"/>
                <w:bCs w:val="0"/>
                <w:i w:val="0"/>
                <w:snapToGrid w:val="0"/>
                <w:color w:val="auto"/>
                <w:kern w:val="21"/>
                <w:sz w:val="27"/>
                <w:szCs w:val="27"/>
                <w:u w:val="none"/>
                <w:lang w:val="en-US" w:eastAsia="zh-CN" w:bidi="ar"/>
              </w:rPr>
              <w:t>＋</w:t>
            </w:r>
            <w:r>
              <w:rPr>
                <w:rFonts w:hint="eastAsia" w:ascii="Times New Roman" w:hAnsi="Times New Roman" w:eastAsia="方正仿宋_GBK" w:cs="方正仿宋_GBK"/>
                <w:b w:val="0"/>
                <w:bCs w:val="0"/>
                <w:i w:val="0"/>
                <w:snapToGrid w:val="0"/>
                <w:color w:val="auto"/>
                <w:kern w:val="21"/>
                <w:sz w:val="27"/>
                <w:szCs w:val="27"/>
                <w:u w:val="none"/>
                <w:lang w:val="en-US" w:eastAsia="zh-CN" w:bidi="ar"/>
              </w:rPr>
              <w:t>资本赋能”的科技成果转化制度。</w:t>
            </w:r>
          </w:p>
        </w:tc>
        <w:tc>
          <w:tcPr>
            <w:tcW w:w="2430" w:type="dxa"/>
            <w:tcBorders>
              <w:tl2br w:val="nil"/>
              <w:tr2bl w:val="nil"/>
            </w:tcBorders>
            <w:noWrap w:val="0"/>
            <w:tcMar>
              <w:top w:w="28" w:type="dxa"/>
              <w:left w:w="28" w:type="dxa"/>
              <w:bottom w:w="28" w:type="dxa"/>
              <w:right w:w="28" w:type="dxa"/>
            </w:tcMar>
            <w:vAlign w:val="center"/>
          </w:tcPr>
          <w:p w14:paraId="466788AC">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自治区科技厅、工业和信息化厅</w:t>
            </w:r>
          </w:p>
        </w:tc>
        <w:tc>
          <w:tcPr>
            <w:tcW w:w="1418" w:type="dxa"/>
            <w:tcBorders>
              <w:tl2br w:val="nil"/>
              <w:tr2bl w:val="nil"/>
            </w:tcBorders>
            <w:noWrap w:val="0"/>
            <w:tcMar>
              <w:top w:w="28" w:type="dxa"/>
              <w:left w:w="28" w:type="dxa"/>
              <w:bottom w:w="28" w:type="dxa"/>
              <w:right w:w="28" w:type="dxa"/>
            </w:tcMar>
            <w:vAlign w:val="center"/>
          </w:tcPr>
          <w:p w14:paraId="63E1AA2E">
            <w:pPr>
              <w:keepNext w:val="0"/>
              <w:keepLines w:val="0"/>
              <w:pageBreakBefore w:val="0"/>
              <w:widowControl w:val="0"/>
              <w:suppressLineNumbers w:val="0"/>
              <w:kinsoku/>
              <w:wordWrap/>
              <w:overflowPunct/>
              <w:topLinePunct w:val="0"/>
              <w:autoSpaceDE/>
              <w:autoSpaceDN/>
              <w:bidi w:val="0"/>
              <w:adjustRightInd w:val="0"/>
              <w:snapToGrid w:val="0"/>
              <w:spacing w:line="400" w:lineRule="exact"/>
              <w:jc w:val="both"/>
              <w:textAlignment w:val="auto"/>
              <w:outlineLvl w:val="9"/>
              <w:rPr>
                <w:rFonts w:hint="eastAsia" w:ascii="Times New Roman" w:hAnsi="Times New Roman" w:eastAsia="方正仿宋_GBK" w:cs="方正仿宋_GBK"/>
                <w:b w:val="0"/>
                <w:bCs w:val="0"/>
                <w:i w:val="0"/>
                <w:snapToGrid w:val="0"/>
                <w:color w:val="auto"/>
                <w:kern w:val="21"/>
                <w:sz w:val="27"/>
                <w:szCs w:val="27"/>
                <w:u w:val="none"/>
              </w:rPr>
            </w:pPr>
            <w:r>
              <w:rPr>
                <w:rFonts w:hint="eastAsia" w:ascii="Times New Roman" w:hAnsi="Times New Roman" w:eastAsia="方正仿宋_GBK" w:cs="方正仿宋_GBK"/>
                <w:b w:val="0"/>
                <w:bCs w:val="0"/>
                <w:i w:val="0"/>
                <w:snapToGrid w:val="0"/>
                <w:color w:val="auto"/>
                <w:kern w:val="21"/>
                <w:sz w:val="27"/>
                <w:szCs w:val="27"/>
                <w:u w:val="none"/>
                <w:lang w:val="en-US" w:eastAsia="zh-CN" w:bidi="ar"/>
              </w:rPr>
              <w:t>自治区各有关职能部门，各市、县人民政府</w:t>
            </w:r>
          </w:p>
        </w:tc>
      </w:tr>
    </w:tbl>
    <w:p w14:paraId="08C4C3EA"/>
    <w:sectPr>
      <w:pgSz w:w="16838" w:h="11906" w:orient="landscape"/>
      <w:pgMar w:top="1587" w:right="2098" w:bottom="1587" w:left="1757" w:header="851" w:footer="992" w:gutter="0"/>
      <w:cols w:space="0" w:num="1"/>
      <w:rtlGutter w:val="0"/>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D075E"/>
    <w:rsid w:val="096B303A"/>
    <w:rsid w:val="223067CD"/>
    <w:rsid w:val="2A37166F"/>
    <w:rsid w:val="2B3B7993"/>
    <w:rsid w:val="448C2306"/>
    <w:rsid w:val="62267368"/>
    <w:rsid w:val="65533E5D"/>
    <w:rsid w:val="76CD1417"/>
    <w:rsid w:val="7E4D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b/>
      <w:kern w:val="44"/>
      <w:sz w:val="44"/>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3088</Words>
  <Characters>3132</Characters>
  <Lines>0</Lines>
  <Paragraphs>0</Paragraphs>
  <TotalTime>0</TotalTime>
  <ScaleCrop>false</ScaleCrop>
  <LinksUpToDate>false</LinksUpToDate>
  <CharactersWithSpaces>3132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2025-05-14T09:46:00Z</dcterms:created>
  <dc:creator>ฅ'ω'ฅ</dc:creator>
  <cp:lastModifiedBy>你之于我</cp:lastModifiedBy>
  <dcterms:modified xsi:type="dcterms:W3CDTF">2025-12-09T04:00:06Z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E608E76CBCDB4CF7A39ABF0CCE1D9025_13</vt:lpwstr>
  </property>
  <property fmtid="{D5CDD505-2E9C-101B-9397-08002B2CF9AE}" pid="4" name="KSOTemplateDocerSaveRecord">
    <vt:lpwstr>eyJoZGlkIjoiZGI0OWY2YzdmYjg5ZmJhYTE4MjkyZTkwYjljZDZiNDciLCJ1c2VySWQiOiIyMDcyNTM4NDUifQ==</vt:lpwstr>
  </property>
</Properties>
</file>