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line="590" w:lineRule="exact"/>
        <w:rPr>
          <w:rFonts w:eastAsia="方正小标宋简体"/>
          <w:sz w:val="42"/>
          <w:szCs w:val="42"/>
        </w:rPr>
      </w:pPr>
    </w:p>
    <w:p>
      <w:pPr>
        <w:spacing w:line="590" w:lineRule="exact"/>
        <w:jc w:val="center"/>
        <w:rPr>
          <w:rFonts w:eastAsia="方正小标宋_GBK"/>
          <w:spacing w:val="-2"/>
          <w:sz w:val="36"/>
          <w:szCs w:val="36"/>
        </w:rPr>
      </w:pPr>
      <w:r>
        <w:rPr>
          <w:rFonts w:hint="eastAsia" w:eastAsia="方正小标宋_GBK"/>
          <w:spacing w:val="-2"/>
          <w:sz w:val="36"/>
          <w:szCs w:val="36"/>
        </w:rPr>
        <w:t>自治区人民政府决定取消的行政许可事项目录</w:t>
      </w:r>
    </w:p>
    <w:p>
      <w:pPr>
        <w:spacing w:line="590" w:lineRule="exact"/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（共5项）</w:t>
      </w:r>
    </w:p>
    <w:p>
      <w:pPr>
        <w:spacing w:line="590" w:lineRule="exact"/>
        <w:jc w:val="center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4"/>
        <w:tblW w:w="9072" w:type="dxa"/>
        <w:jc w:val="center"/>
        <w:tblInd w:w="0" w:type="dxa"/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666"/>
        <w:gridCol w:w="1069"/>
        <w:gridCol w:w="2186"/>
        <w:gridCol w:w="1929"/>
        <w:gridCol w:w="3222"/>
      </w:tblGrid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388" w:hRule="atLeast"/>
          <w:tblHeader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spacing w:val="-4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审批层级和部门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kern w:val="0"/>
                <w:sz w:val="18"/>
                <w:szCs w:val="18"/>
              </w:rPr>
            </w:pPr>
            <w:r>
              <w:rPr>
                <w:rFonts w:hint="eastAsia" w:ascii="方正黑体_GBK" w:eastAsia="方正黑体_GBK"/>
                <w:kern w:val="0"/>
                <w:sz w:val="18"/>
                <w:szCs w:val="18"/>
              </w:rPr>
              <w:t>设定依据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38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D10006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资产评估机构设立审批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z w:val="18"/>
                <w:szCs w:val="18"/>
              </w:rPr>
              <w:t>自治区财政厅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snapToGrid w:val="0"/>
                <w:kern w:val="0"/>
                <w:sz w:val="18"/>
                <w:szCs w:val="18"/>
              </w:rPr>
              <w:t>《国有资产评估管理办法》（1991年11月16日国务院令第91号）、《国务院关于第三批取消和调整行政审批项目的决定》（国发〔2004〕16号）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38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D13001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关闭、闲置或者拆除生活垃圾处置的设施、场所核准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设区市、县级环境保护行政主管部门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《中华人民共和国固体废物污染环境防治法》（1995年10月30日主席令第五十八号，2016年11月7日予以修改）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38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D32017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运输、携带国家重点保护野生动物或者其产品出县境审批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自治区林业厅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《中华人民共和国野生动物保护法》（1988年11月8日主席令第九号，2016年7月2日予以修改）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38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D32025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外国人对国家重点保护野生动物进行野外考察、标本采集或者在野外拍摄电影、录像初审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自治区林业厅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《中华人民共和国陆生野生动物保护实施条例》（1992年2月12日国务院批准，1992年3月1日林业部发布，2016年2月6日予以修改）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388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D32036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国家一级保护野生动物驯养繁殖许可证初审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自治区林业厅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kern w:val="0"/>
                <w:sz w:val="18"/>
                <w:szCs w:val="18"/>
              </w:rPr>
            </w:pPr>
            <w:r>
              <w:rPr>
                <w:rFonts w:hint="eastAsia" w:ascii="方正书宋_GBK" w:eastAsia="方正书宋_GBK"/>
                <w:kern w:val="0"/>
                <w:sz w:val="18"/>
                <w:szCs w:val="18"/>
              </w:rPr>
              <w:t>《中华人民共和国野生动物保护法》（1988年11月8日主席令第九号，2016年7月2日予以修改）、《国家重点保护野生动物驯养繁殖许可证管理办法》（1991年1月9日林业部公布，2015年4月30日予以修改）</w:t>
            </w:r>
          </w:p>
        </w:tc>
      </w:tr>
    </w:tbl>
    <w:p>
      <w:pPr>
        <w:spacing w:line="570" w:lineRule="exact"/>
        <w:rPr>
          <w:rFonts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805F2"/>
    <w:rsid w:val="4E4805F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xnew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2018-06-26T09:31:00Z</dcterms:created>
  <dc:creator>吃猫的鱼</dc:creator>
  <cp:lastModifiedBy>吃猫的鱼</cp:lastModifiedBy>
  <dcterms:modified xsi:type="dcterms:W3CDTF">2018-06-26T09:32:50Z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