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方正黑体_GBK" w:eastAsia="方正黑体_GBK"/>
          <w:snapToGrid w:val="0"/>
          <w:color w:val="000000"/>
          <w:sz w:val="32"/>
          <w:szCs w:val="32"/>
        </w:rPr>
      </w:pPr>
      <w:r>
        <w:rPr>
          <w:rFonts w:hint="eastAsia" w:ascii="方正黑体_GBK" w:eastAsia="方正黑体_GBK"/>
          <w:snapToGrid w:val="0"/>
          <w:color w:val="000000"/>
          <w:sz w:val="32"/>
          <w:szCs w:val="32"/>
        </w:rPr>
        <w:t>附件</w:t>
      </w:r>
      <w:r>
        <w:rPr>
          <w:rFonts w:hint="eastAsia" w:ascii="方正黑体_GBK" w:eastAsia="方正黑体_GBK"/>
          <w:color w:val="000000"/>
          <w:kern w:val="0"/>
          <w:sz w:val="32"/>
          <w:szCs w:val="32"/>
        </w:rPr>
        <w:t>4</w:t>
      </w:r>
    </w:p>
    <w:p>
      <w:pPr>
        <w:adjustRightInd w:val="0"/>
        <w:snapToGrid w:val="0"/>
        <w:spacing w:line="590" w:lineRule="exact"/>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utoSpaceDE w:val="0"/>
        <w:autoSpaceDN w:val="0"/>
        <w:adjustRightInd w:val="0"/>
        <w:snapToGrid w:val="0"/>
        <w:spacing w:line="590" w:lineRule="exact"/>
        <w:jc w:val="center"/>
        <w:rPr>
          <w:rFonts w:hint="eastAsia" w:ascii="方正小标宋_GBK" w:eastAsia="方正小标宋_GBK" w:cs="FZXBSJW--GB1-0"/>
          <w:snapToGrid w:val="0"/>
          <w:color w:val="000000"/>
          <w:sz w:val="44"/>
          <w:szCs w:val="44"/>
        </w:rPr>
      </w:pPr>
      <w:bookmarkStart w:id="0" w:name="_GoBack"/>
      <w:r>
        <w:rPr>
          <w:rFonts w:hint="eastAsia" w:ascii="方正小标宋_GBK" w:eastAsia="方正小标宋_GBK" w:cs="FZXBSJW--GB1-0"/>
          <w:snapToGrid w:val="0"/>
          <w:color w:val="000000"/>
          <w:sz w:val="44"/>
          <w:szCs w:val="44"/>
        </w:rPr>
        <w:t>广西壮族自治区</w:t>
      </w:r>
    </w:p>
    <w:p>
      <w:pPr>
        <w:autoSpaceDE w:val="0"/>
        <w:autoSpaceDN w:val="0"/>
        <w:adjustRightInd w:val="0"/>
        <w:snapToGrid w:val="0"/>
        <w:spacing w:line="590" w:lineRule="exact"/>
        <w:jc w:val="center"/>
        <w:rPr>
          <w:rFonts w:hint="eastAsia" w:ascii="方正小标宋_GBK" w:eastAsia="方正小标宋_GBK" w:cs="FZXBSJW--GB1-0"/>
          <w:snapToGrid w:val="0"/>
          <w:color w:val="000000"/>
          <w:sz w:val="44"/>
          <w:szCs w:val="44"/>
        </w:rPr>
      </w:pPr>
      <w:r>
        <w:rPr>
          <w:rFonts w:hint="eastAsia" w:ascii="方正小标宋_GBK" w:eastAsia="方正小标宋_GBK" w:cs="FZXBSJW--GB1-0"/>
          <w:snapToGrid w:val="0"/>
          <w:color w:val="000000"/>
          <w:sz w:val="44"/>
          <w:szCs w:val="44"/>
        </w:rPr>
        <w:t>重大项目推进工作考核奖惩办法</w:t>
      </w:r>
    </w:p>
    <w:bookmarkEnd w:id="0"/>
    <w:p>
      <w:pPr>
        <w:autoSpaceDE w:val="0"/>
        <w:autoSpaceDN w:val="0"/>
        <w:adjustRightInd w:val="0"/>
        <w:snapToGrid w:val="0"/>
        <w:spacing w:line="590" w:lineRule="exact"/>
        <w:rPr>
          <w:rFonts w:hint="eastAsia" w:eastAsia="方正仿宋_GBK" w:cs="FZXBSJW--GB1-0"/>
          <w:snapToGrid w:val="0"/>
          <w:color w:val="000000"/>
          <w:sz w:val="32"/>
          <w:szCs w:val="32"/>
        </w:rPr>
      </w:pPr>
    </w:p>
    <w:p>
      <w:pPr>
        <w:autoSpaceDE w:val="0"/>
        <w:autoSpaceDN w:val="0"/>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第一条</w:t>
      </w:r>
      <w:r>
        <w:rPr>
          <w:rFonts w:hint="eastAsia" w:eastAsia="方正仿宋_GBK" w:cs="仿宋_GB2312"/>
          <w:snapToGrid w:val="0"/>
          <w:color w:val="000000"/>
          <w:sz w:val="32"/>
          <w:szCs w:val="32"/>
        </w:rPr>
        <w:t xml:space="preserve"> </w:t>
      </w:r>
      <w:r>
        <w:rPr>
          <w:rFonts w:hint="eastAsia" w:eastAsia="方正仿宋_GBK"/>
          <w:snapToGrid w:val="0"/>
          <w:color w:val="000000"/>
          <w:sz w:val="32"/>
          <w:szCs w:val="32"/>
        </w:rPr>
        <w:t xml:space="preserve"> 为充分调动各地推进重大项目建设的积极性、主动性，进一步扩大项目储备，充分发挥重大项目建设对我区固定资产投资健康增长的有力支撑作用，根据自治区人民政府的要求，制定本办法。</w:t>
      </w:r>
    </w:p>
    <w:p>
      <w:pPr>
        <w:autoSpaceDE w:val="0"/>
        <w:autoSpaceDN w:val="0"/>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第二条</w:t>
      </w:r>
      <w:r>
        <w:rPr>
          <w:rFonts w:hint="eastAsia" w:eastAsia="方正仿宋_GBK"/>
          <w:snapToGrid w:val="0"/>
          <w:color w:val="000000"/>
          <w:sz w:val="32"/>
          <w:szCs w:val="32"/>
        </w:rPr>
        <w:t xml:space="preserve">  本办法所指重大项目是指列入自治区层面统筹推进的重大项目及三年滚动计划的项目。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第三条</w:t>
      </w:r>
      <w:r>
        <w:rPr>
          <w:rFonts w:hint="eastAsia" w:eastAsia="方正仿宋_GBK" w:cs="仿宋_GB2312"/>
          <w:snapToGrid w:val="0"/>
          <w:color w:val="000000"/>
          <w:sz w:val="32"/>
          <w:szCs w:val="32"/>
        </w:rPr>
        <w:t xml:space="preserve">  </w:t>
      </w:r>
      <w:r>
        <w:rPr>
          <w:rFonts w:hint="eastAsia" w:eastAsia="方正仿宋_GBK"/>
          <w:snapToGrid w:val="0"/>
          <w:color w:val="000000"/>
          <w:sz w:val="32"/>
          <w:szCs w:val="32"/>
        </w:rPr>
        <w:t>本办法适用于全区</w:t>
      </w:r>
      <w:r>
        <w:rPr>
          <w:rFonts w:eastAsia="方正仿宋_GBK"/>
          <w:snapToGrid w:val="0"/>
          <w:color w:val="000000"/>
          <w:sz w:val="32"/>
          <w:szCs w:val="32"/>
        </w:rPr>
        <w:t>14个设</w:t>
      </w:r>
      <w:r>
        <w:rPr>
          <w:rFonts w:hint="eastAsia" w:eastAsia="方正仿宋_GBK"/>
          <w:snapToGrid w:val="0"/>
          <w:color w:val="000000"/>
          <w:sz w:val="32"/>
          <w:szCs w:val="32"/>
        </w:rPr>
        <w:t>区市年度重大项目推进工作的考核。</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第四条</w:t>
      </w:r>
      <w:r>
        <w:rPr>
          <w:rFonts w:hint="eastAsia" w:eastAsia="方正仿宋_GBK"/>
          <w:snapToGrid w:val="0"/>
          <w:color w:val="000000"/>
          <w:sz w:val="32"/>
          <w:szCs w:val="32"/>
        </w:rPr>
        <w:t xml:space="preserve">  考核工作在自治区重大项目建设推进领导小组的领导下进行，具体组织实施工作由自治区重大项目建设推进领导小组办公室（以下简称自治区重大办）负责。</w:t>
      </w:r>
    </w:p>
    <w:p>
      <w:pPr>
        <w:autoSpaceDE w:val="0"/>
        <w:autoSpaceDN w:val="0"/>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第五条</w:t>
      </w:r>
      <w:r>
        <w:rPr>
          <w:rFonts w:hint="eastAsia" w:eastAsia="方正仿宋_GBK" w:cs="仿宋_GB2312"/>
          <w:snapToGrid w:val="0"/>
          <w:color w:val="000000"/>
          <w:sz w:val="32"/>
          <w:szCs w:val="32"/>
        </w:rPr>
        <w:t xml:space="preserve"> </w:t>
      </w:r>
      <w:r>
        <w:rPr>
          <w:rFonts w:hint="eastAsia" w:eastAsia="方正仿宋_GBK"/>
          <w:snapToGrid w:val="0"/>
          <w:color w:val="000000"/>
          <w:sz w:val="32"/>
          <w:szCs w:val="32"/>
        </w:rPr>
        <w:t xml:space="preserve"> 考核工作遵循以下原则：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（一）突出实绩原则。定量考核与定性考核相结合，以考核年度实际工作成效为重点。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（二）客观公正原则。考核办法、考核程序、评分标准公开，平时工作与年终考核相结合，考核结果力求公正透明。</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（三）差别考核原则。以激励先进、鞭策后进为目标，不搞平均主义。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第六条</w:t>
      </w:r>
      <w:r>
        <w:rPr>
          <w:rFonts w:hint="eastAsia" w:eastAsia="方正仿宋_GBK" w:cs="仿宋_GB2312"/>
          <w:snapToGrid w:val="0"/>
          <w:color w:val="000000"/>
          <w:sz w:val="32"/>
          <w:szCs w:val="32"/>
        </w:rPr>
        <w:t xml:space="preserve">  </w:t>
      </w:r>
      <w:r>
        <w:rPr>
          <w:rFonts w:hint="eastAsia" w:eastAsia="方正仿宋_GBK"/>
          <w:snapToGrid w:val="0"/>
          <w:color w:val="000000"/>
          <w:sz w:val="32"/>
          <w:szCs w:val="32"/>
        </w:rPr>
        <w:t>考核内容包括以下六项：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（一）考核自治区层面统筹推进重大项目实施情况（此项44分），着重强调年度推进工作实际成效。主要考核指标包括开竣工情况、投资完成情况、前期工作推进情况等。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（二）考核自治区重大项目三年滚动计划年度实施情况（此项24分），着重强调扩大重大项目储备的重要性，鼓励各市重视项目储备工作。主要考核指标包括储备项目总数、储备项目质量、开工转化比例等。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考核重大项目对固定资产投资的贡献情况（此项12分），综合考虑各市发展差异，着重强调重大项目投资对固定资产投资的支撑作用。主要考核指标包括重大项目投资贡献率、投资增长率、投资完成占比率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考核重大项目综合管理情况（此项20分），突出重大项目全过程综合管理的重要性，重视对日常工作的全面综合评价。主要考核指标包括责任制落实情况、协调服务情况、宣传报道情况、信息报送情况、督查督办情况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考核重大项目推进工作创新情况（此项10分），激励各市因地制宜改进重大项目工作机制及推进方式方法，鼓励营造重大项目建设良好环境。主要考核各地创新重大项目审批、协调、服务、督查等工作机制的情况，以及出台加快推进重大项目建设相关政策文件的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考核重大项目推进工作满意度情况（此项10分），从项目业主的层面对各市推进重大项目工作进行综合评价。此项考核通过委托中介机构对重大项目业主开展满意度调查进行，着重调查重大项目业主对各市人民政府推进重大项目建设工作的满意程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上述六类考核内容，按照必要性和重要性分为基本指标和加分指标两类。其中，考核内容的（一）至（四）项为基本指标，</w:t>
      </w:r>
      <w:r>
        <w:rPr>
          <w:rFonts w:eastAsia="方正仿宋_GBK"/>
          <w:snapToGrid w:val="0"/>
          <w:color w:val="000000"/>
          <w:sz w:val="32"/>
          <w:szCs w:val="32"/>
        </w:rPr>
        <w:t>分值100分；考核内容的（五）至（六）项为加分指标，分值20</w:t>
      </w:r>
      <w:r>
        <w:rPr>
          <w:rFonts w:hint="eastAsia" w:eastAsia="方正仿宋_GBK"/>
          <w:snapToGrid w:val="0"/>
          <w:color w:val="000000"/>
          <w:sz w:val="32"/>
          <w:szCs w:val="32"/>
        </w:rPr>
        <w:t>分。具体指标内容及评分细则附后。</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 xml:space="preserve">第七条 </w:t>
      </w:r>
      <w:r>
        <w:rPr>
          <w:rFonts w:hint="eastAsia" w:eastAsia="方正仿宋_GBK" w:cs="仿宋_GB2312"/>
          <w:b/>
          <w:bCs/>
          <w:snapToGrid w:val="0"/>
          <w:color w:val="000000"/>
          <w:sz w:val="32"/>
          <w:szCs w:val="32"/>
        </w:rPr>
        <w:t xml:space="preserve"> </w:t>
      </w:r>
      <w:r>
        <w:rPr>
          <w:rFonts w:hint="eastAsia" w:eastAsia="方正仿宋_GBK"/>
          <w:snapToGrid w:val="0"/>
          <w:color w:val="000000"/>
          <w:sz w:val="32"/>
          <w:szCs w:val="32"/>
        </w:rPr>
        <w:t>考核工作每年进行一次。年度考核工作于次年3月底前完成。考核方式实行全面考核与重点抽查相结合、集中考核与日常工作相结合、考核与奖惩相结合，采取查资料、看现场、访业主等方法进行综合评定。</w:t>
      </w:r>
    </w:p>
    <w:p>
      <w:pPr>
        <w:autoSpaceDE w:val="0"/>
        <w:autoSpaceDN w:val="0"/>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第八条</w:t>
      </w:r>
      <w:r>
        <w:rPr>
          <w:rFonts w:hint="eastAsia" w:eastAsia="方正仿宋_GBK" w:cs="仿宋_GB2312"/>
          <w:snapToGrid w:val="0"/>
          <w:color w:val="000000"/>
          <w:sz w:val="32"/>
          <w:szCs w:val="32"/>
        </w:rPr>
        <w:t xml:space="preserve"> </w:t>
      </w:r>
      <w:r>
        <w:rPr>
          <w:rFonts w:hint="eastAsia" w:eastAsia="方正仿宋_GBK"/>
          <w:snapToGrid w:val="0"/>
          <w:color w:val="000000"/>
          <w:sz w:val="32"/>
          <w:szCs w:val="32"/>
        </w:rPr>
        <w:t xml:space="preserve"> 考核工作按照以下步骤进行：</w:t>
      </w:r>
    </w:p>
    <w:p>
      <w:pPr>
        <w:autoSpaceDE w:val="0"/>
        <w:autoSpaceDN w:val="0"/>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（一）设区市自评。每年1月底前，各市人民政府对照自治区重大办印发的考核内容、考核指标及评分细则，对上一年度推进重大项目建设工作进行自评，形成自评报告报送自治区重大办。</w:t>
      </w:r>
    </w:p>
    <w:p>
      <w:pPr>
        <w:autoSpaceDE w:val="0"/>
        <w:autoSpaceDN w:val="0"/>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自治区考评。每年2月底前，自治区重大办牵头组织自治区重大项目建设推进领导小组成员单位，组建考核工作小组，采取实地抽查核验的方式，对设区市自评结果进行认定。具体核验方法由自治区重大办根据自治区绩效办年度绩效考核的总体要求另行制定，在年度考核通知中予以明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（三）考评结果。每</w:t>
      </w:r>
      <w:r>
        <w:rPr>
          <w:rFonts w:eastAsia="方正仿宋_GBK"/>
          <w:snapToGrid w:val="0"/>
          <w:color w:val="000000"/>
          <w:sz w:val="32"/>
          <w:szCs w:val="32"/>
        </w:rPr>
        <w:t>年3月底</w:t>
      </w:r>
      <w:r>
        <w:rPr>
          <w:rFonts w:hint="eastAsia" w:eastAsia="方正仿宋_GBK"/>
          <w:snapToGrid w:val="0"/>
          <w:color w:val="000000"/>
          <w:sz w:val="32"/>
          <w:szCs w:val="32"/>
        </w:rPr>
        <w:t>前，自治区重大办经核验认定，结合各市初评情况，对各市重大项目推进工作评比打分，将考评结果及奖惩建议上报自治区人民政府，经自治区人民政府批准后公布实施。</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第九条</w:t>
      </w:r>
      <w:r>
        <w:rPr>
          <w:rFonts w:hint="eastAsia" w:eastAsia="方正仿宋_GBK" w:cs="仿宋_GB2312"/>
          <w:snapToGrid w:val="0"/>
          <w:color w:val="000000"/>
          <w:sz w:val="32"/>
          <w:szCs w:val="32"/>
        </w:rPr>
        <w:t xml:space="preserve"> </w:t>
      </w:r>
      <w:r>
        <w:rPr>
          <w:rFonts w:hint="eastAsia" w:eastAsia="方正仿宋_GBK"/>
          <w:snapToGrid w:val="0"/>
          <w:color w:val="000000"/>
          <w:sz w:val="32"/>
          <w:szCs w:val="32"/>
        </w:rPr>
        <w:t xml:space="preserve"> 自治区绩效办直接采纳自治区重大办对设区市进行重大项目推进工作考核的考评结果，应用于设区市年度绩效考核工作。重大项目推进工作考评结果与设区市人民政府领导班子年度考核、综合考核评价相挂钩，作为相关领导干部评先评优、选拔任用、责任追究的重要依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 xml:space="preserve">第十条 </w:t>
      </w:r>
      <w:r>
        <w:rPr>
          <w:rFonts w:hint="eastAsia" w:eastAsia="方正仿宋_GBK"/>
          <w:snapToGrid w:val="0"/>
          <w:color w:val="000000"/>
          <w:sz w:val="32"/>
          <w:szCs w:val="32"/>
        </w:rPr>
        <w:t xml:space="preserve"> 对年度重大项目推进工作考核排名在前</w:t>
      </w:r>
      <w:r>
        <w:rPr>
          <w:rFonts w:hint="eastAsia" w:eastAsia="方正仿宋_GBK" w:cs="TimesNewRomanPSMT"/>
          <w:snapToGrid w:val="0"/>
          <w:color w:val="000000"/>
          <w:sz w:val="32"/>
          <w:szCs w:val="32"/>
        </w:rPr>
        <w:t>7</w:t>
      </w:r>
      <w:r>
        <w:rPr>
          <w:rFonts w:hint="eastAsia" w:eastAsia="方正仿宋_GBK"/>
          <w:snapToGrid w:val="0"/>
          <w:color w:val="000000"/>
          <w:sz w:val="32"/>
          <w:szCs w:val="32"/>
        </w:rPr>
        <w:t>位的设区市人民政府，由自治区人民政府在全区范围内进行通报表扬，并给予下述奖励：</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（一）在自治区本级预算内项目前期工作经费中给予先进市人民政府安排专项奖励资金；</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（二）设区市相关领导年度考核优先考虑评为优秀等次；</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（三）在中央预算内资金、发债指标、新增建设用地指标、环境容量指标及主要污染物排放指标、能源消耗指标的安排上给予额外奖励，具体实施细则由相关主管部门另行制定。</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第十一条</w:t>
      </w:r>
      <w:r>
        <w:rPr>
          <w:rFonts w:hint="eastAsia" w:eastAsia="方正仿宋_GBK" w:cs="仿宋_GB2312"/>
          <w:snapToGrid w:val="0"/>
          <w:color w:val="000000"/>
          <w:sz w:val="32"/>
          <w:szCs w:val="32"/>
        </w:rPr>
        <w:t xml:space="preserve"> </w:t>
      </w:r>
      <w:r>
        <w:rPr>
          <w:rFonts w:hint="eastAsia" w:eastAsia="方正仿宋_GBK"/>
          <w:snapToGrid w:val="0"/>
          <w:color w:val="000000"/>
          <w:sz w:val="32"/>
          <w:szCs w:val="32"/>
        </w:rPr>
        <w:t xml:space="preserve"> 对年度重大项目推进工作考核分数低于90分且排名在后</w:t>
      </w:r>
      <w:r>
        <w:rPr>
          <w:rFonts w:hint="eastAsia" w:eastAsia="方正仿宋_GBK" w:cs="TimesNewRomanPSMT"/>
          <w:snapToGrid w:val="0"/>
          <w:color w:val="000000"/>
          <w:sz w:val="32"/>
          <w:szCs w:val="32"/>
        </w:rPr>
        <w:t>3</w:t>
      </w:r>
      <w:r>
        <w:rPr>
          <w:rFonts w:hint="eastAsia" w:eastAsia="方正仿宋_GBK"/>
          <w:snapToGrid w:val="0"/>
          <w:color w:val="000000"/>
          <w:sz w:val="32"/>
          <w:szCs w:val="32"/>
        </w:rPr>
        <w:t>位的设区市人民政府，由自治区人民政府在全区范围内进行通报批评，并由自治区人民政府对设区市人民政府领导进行约谈，相关领导年度考核不能评为优秀等次。</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cs="仿宋_GB2312"/>
          <w:snapToGrid w:val="0"/>
          <w:color w:val="000000"/>
          <w:sz w:val="32"/>
          <w:szCs w:val="32"/>
        </w:rPr>
        <w:t>第十二条</w:t>
      </w:r>
      <w:r>
        <w:rPr>
          <w:rFonts w:hint="eastAsia" w:eastAsia="方正仿宋_GBK"/>
          <w:snapToGrid w:val="0"/>
          <w:color w:val="000000"/>
          <w:sz w:val="32"/>
          <w:szCs w:val="32"/>
        </w:rPr>
        <w:t xml:space="preserve">  重大项目建设中存在以下情况之一，造成严重后果和重大影响，取消项目所在地政府当年度重大项目推进工作考核参评资格，直接纳入通报批评范围：</w:t>
      </w:r>
    </w:p>
    <w:p>
      <w:pPr>
        <w:adjustRightInd w:val="0"/>
        <w:snapToGrid w:val="0"/>
        <w:spacing w:line="590" w:lineRule="exact"/>
        <w:ind w:firstLine="640" w:firstLineChars="200"/>
        <w:rPr>
          <w:rFonts w:hint="eastAsia" w:eastAsia="方正仿宋_GBK"/>
          <w:snapToGrid w:val="0"/>
          <w:color w:val="000000"/>
          <w:spacing w:val="-8"/>
          <w:sz w:val="32"/>
          <w:szCs w:val="32"/>
        </w:rPr>
      </w:pPr>
      <w:r>
        <w:rPr>
          <w:rFonts w:hint="eastAsia" w:eastAsia="方正仿宋_GBK"/>
          <w:snapToGrid w:val="0"/>
          <w:color w:val="000000"/>
          <w:sz w:val="32"/>
          <w:szCs w:val="32"/>
        </w:rPr>
        <w:t>（一）</w:t>
      </w:r>
      <w:r>
        <w:rPr>
          <w:rFonts w:hint="eastAsia" w:eastAsia="方正仿宋_GBK"/>
          <w:snapToGrid w:val="0"/>
          <w:color w:val="000000"/>
          <w:spacing w:val="-8"/>
          <w:sz w:val="32"/>
          <w:szCs w:val="32"/>
        </w:rPr>
        <w:t>辖区范围内重大项目发生重特大安全、质量或环境事故；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（二）国家或自治区有关部门稽察、审计、专项检查发现重大项目有重大问题或其他违法违规行为；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（三）发现重大项目有申报材料弄虚作假、专项资金违规使用等违法违规行为；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（四）重大项目建设中发现有其他重大违法违规行为。</w:t>
      </w:r>
    </w:p>
    <w:p>
      <w:pPr>
        <w:adjustRightInd w:val="0"/>
        <w:snapToGrid w:val="0"/>
        <w:spacing w:line="590" w:lineRule="exact"/>
        <w:ind w:firstLine="640" w:firstLineChars="200"/>
        <w:rPr>
          <w:rFonts w:hint="eastAsia" w:ascii="方正小标宋_GBK" w:eastAsia="方正小标宋_GBK"/>
          <w:color w:val="000000"/>
          <w:sz w:val="32"/>
          <w:szCs w:val="32"/>
        </w:rPr>
      </w:pPr>
      <w:r>
        <w:rPr>
          <w:rFonts w:hint="eastAsia" w:eastAsia="方正黑体_GBK" w:cs="仿宋_GB2312"/>
          <w:snapToGrid w:val="0"/>
          <w:color w:val="000000"/>
          <w:sz w:val="32"/>
          <w:szCs w:val="32"/>
        </w:rPr>
        <w:t>第十三条</w:t>
      </w:r>
      <w:r>
        <w:rPr>
          <w:rFonts w:hint="eastAsia" w:eastAsia="方正仿宋_GBK"/>
          <w:snapToGrid w:val="0"/>
          <w:color w:val="000000"/>
          <w:sz w:val="32"/>
          <w:szCs w:val="32"/>
        </w:rPr>
        <w:t xml:space="preserve">  本办法由自治区重大办负责解释。本办法自印发之日起实行，有效期</w:t>
      </w:r>
      <w:r>
        <w:rPr>
          <w:rFonts w:hint="eastAsia" w:eastAsia="方正仿宋_GBK" w:cs="TimesNewRomanPSMT"/>
          <w:snapToGrid w:val="0"/>
          <w:color w:val="000000"/>
          <w:sz w:val="32"/>
          <w:szCs w:val="32"/>
        </w:rPr>
        <w:t>2</w:t>
      </w:r>
      <w:r>
        <w:rPr>
          <w:rFonts w:hint="eastAsia" w:eastAsia="方正仿宋_GBK"/>
          <w:snapToGrid w:val="0"/>
          <w:color w:val="000000"/>
          <w:sz w:val="32"/>
          <w:szCs w:val="32"/>
        </w:rPr>
        <w:t>年。</w:t>
      </w:r>
    </w:p>
    <w:p>
      <w:pPr>
        <w:adjustRightInd w:val="0"/>
        <w:snapToGrid w:val="0"/>
        <w:spacing w:line="590" w:lineRule="exact"/>
        <w:rPr>
          <w:rFonts w:hint="eastAsia" w:ascii="方正小标宋_GBK" w:eastAsia="方正小标宋_GBK"/>
          <w:color w:val="000000"/>
          <w:sz w:val="32"/>
          <w:szCs w:val="32"/>
        </w:rPr>
      </w:pPr>
    </w:p>
    <w:p>
      <w:pPr>
        <w:adjustRightInd w:val="0"/>
        <w:snapToGrid w:val="0"/>
        <w:spacing w:line="590" w:lineRule="exact"/>
        <w:rPr>
          <w:rFonts w:hint="eastAsia" w:ascii="方正小标宋_GBK" w:eastAsia="方正小标宋_GBK"/>
          <w:color w:val="000000"/>
          <w:sz w:val="32"/>
          <w:szCs w:val="32"/>
        </w:rPr>
      </w:pPr>
    </w:p>
    <w:p>
      <w:pPr>
        <w:adjustRightInd w:val="0"/>
        <w:snapToGrid w:val="0"/>
        <w:spacing w:line="590" w:lineRule="exact"/>
        <w:rPr>
          <w:rFonts w:ascii="方正小标宋_GBK" w:eastAsia="方正小标宋_GBK"/>
          <w:color w:val="000000"/>
          <w:sz w:val="32"/>
          <w:szCs w:val="32"/>
        </w:rPr>
        <w:sectPr>
          <w:footerReference r:id="rId3" w:type="default"/>
          <w:pgSz w:w="11906" w:h="16838"/>
          <w:pgMar w:top="1928" w:right="1418" w:bottom="1814" w:left="1418" w:header="851" w:footer="1474" w:gutter="0"/>
          <w:cols w:space="425" w:num="1"/>
          <w:docGrid w:type="lines" w:linePitch="408" w:charSpace="0"/>
        </w:sectPr>
      </w:pPr>
    </w:p>
    <w:p>
      <w:pPr>
        <w:adjustRightInd w:val="0"/>
        <w:snapToGrid w:val="0"/>
        <w:spacing w:line="590" w:lineRule="exact"/>
        <w:jc w:val="center"/>
        <w:rPr>
          <w:rFonts w:hint="eastAsia" w:ascii="方正小标宋_GBK" w:eastAsia="方正小标宋_GBK"/>
          <w:snapToGrid w:val="0"/>
          <w:color w:val="000000"/>
          <w:sz w:val="44"/>
          <w:szCs w:val="44"/>
        </w:rPr>
      </w:pPr>
      <w:r>
        <w:rPr>
          <w:rFonts w:hint="eastAsia" w:ascii="方正小标宋_GBK" w:eastAsia="方正小标宋_GBK"/>
          <w:snapToGrid w:val="0"/>
          <w:color w:val="000000"/>
          <w:sz w:val="44"/>
          <w:szCs w:val="44"/>
        </w:rPr>
        <w:t>全区重大项目推进工作考核指标及评分细则</w:t>
      </w:r>
    </w:p>
    <w:p>
      <w:pPr>
        <w:adjustRightInd w:val="0"/>
        <w:snapToGrid w:val="0"/>
        <w:spacing w:line="590" w:lineRule="exact"/>
        <w:jc w:val="center"/>
        <w:rPr>
          <w:rFonts w:hint="eastAsia" w:eastAsia="方正黑体_GBK"/>
          <w:snapToGrid w:val="0"/>
          <w:color w:val="000000"/>
          <w:sz w:val="32"/>
          <w:szCs w:val="32"/>
        </w:rPr>
      </w:pPr>
    </w:p>
    <w:tbl>
      <w:tblPr>
        <w:tblStyle w:val="5"/>
        <w:tblW w:w="132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
      <w:tblGrid>
        <w:gridCol w:w="625"/>
        <w:gridCol w:w="1122"/>
        <w:gridCol w:w="1254"/>
        <w:gridCol w:w="630"/>
        <w:gridCol w:w="3014"/>
        <w:gridCol w:w="3194"/>
        <w:gridCol w:w="2755"/>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425" w:hRule="atLeast"/>
          <w:tblHeader/>
          <w:jc w:val="center"/>
        </w:trPr>
        <w:tc>
          <w:tcPr>
            <w:tcW w:w="625" w:type="dxa"/>
            <w:vAlign w:val="center"/>
          </w:tcPr>
          <w:p>
            <w:pPr>
              <w:widowControl/>
              <w:adjustRightInd w:val="0"/>
              <w:snapToGrid w:val="0"/>
              <w:jc w:val="center"/>
              <w:rPr>
                <w:rFonts w:hint="eastAsia" w:ascii="方正黑体_GBK" w:eastAsia="方正黑体_GBK" w:cs="宋体"/>
                <w:bCs/>
                <w:snapToGrid w:val="0"/>
                <w:color w:val="000000"/>
                <w:sz w:val="21"/>
                <w:szCs w:val="21"/>
              </w:rPr>
            </w:pPr>
            <w:r>
              <w:rPr>
                <w:rFonts w:hint="eastAsia" w:ascii="方正黑体_GBK" w:eastAsia="方正黑体_GBK" w:cs="宋体"/>
                <w:bCs/>
                <w:snapToGrid w:val="0"/>
                <w:color w:val="000000"/>
                <w:sz w:val="21"/>
                <w:szCs w:val="21"/>
              </w:rPr>
              <w:t>序号</w:t>
            </w:r>
          </w:p>
        </w:tc>
        <w:tc>
          <w:tcPr>
            <w:tcW w:w="1122" w:type="dxa"/>
            <w:vAlign w:val="center"/>
          </w:tcPr>
          <w:p>
            <w:pPr>
              <w:widowControl/>
              <w:adjustRightInd w:val="0"/>
              <w:snapToGrid w:val="0"/>
              <w:jc w:val="center"/>
              <w:rPr>
                <w:rFonts w:hint="eastAsia" w:ascii="方正黑体_GBK" w:eastAsia="方正黑体_GBK" w:cs="宋体"/>
                <w:bCs/>
                <w:snapToGrid w:val="0"/>
                <w:color w:val="000000"/>
                <w:sz w:val="21"/>
                <w:szCs w:val="21"/>
              </w:rPr>
            </w:pPr>
            <w:r>
              <w:rPr>
                <w:rFonts w:hint="eastAsia" w:ascii="方正黑体_GBK" w:eastAsia="方正黑体_GBK" w:cs="宋体"/>
                <w:bCs/>
                <w:snapToGrid w:val="0"/>
                <w:color w:val="000000"/>
                <w:sz w:val="21"/>
                <w:szCs w:val="21"/>
              </w:rPr>
              <w:t>一级指标</w:t>
            </w:r>
          </w:p>
        </w:tc>
        <w:tc>
          <w:tcPr>
            <w:tcW w:w="1254" w:type="dxa"/>
            <w:vAlign w:val="center"/>
          </w:tcPr>
          <w:p>
            <w:pPr>
              <w:widowControl/>
              <w:adjustRightInd w:val="0"/>
              <w:snapToGrid w:val="0"/>
              <w:jc w:val="center"/>
              <w:rPr>
                <w:rFonts w:hint="eastAsia" w:ascii="方正黑体_GBK" w:eastAsia="方正黑体_GBK" w:cs="宋体"/>
                <w:bCs/>
                <w:snapToGrid w:val="0"/>
                <w:color w:val="000000"/>
                <w:sz w:val="21"/>
                <w:szCs w:val="21"/>
              </w:rPr>
            </w:pPr>
            <w:r>
              <w:rPr>
                <w:rFonts w:hint="eastAsia" w:ascii="方正黑体_GBK" w:eastAsia="方正黑体_GBK" w:cs="宋体"/>
                <w:bCs/>
                <w:snapToGrid w:val="0"/>
                <w:color w:val="000000"/>
                <w:sz w:val="21"/>
                <w:szCs w:val="21"/>
              </w:rPr>
              <w:t>二级指标</w:t>
            </w:r>
          </w:p>
        </w:tc>
        <w:tc>
          <w:tcPr>
            <w:tcW w:w="630" w:type="dxa"/>
            <w:vAlign w:val="center"/>
          </w:tcPr>
          <w:p>
            <w:pPr>
              <w:widowControl/>
              <w:adjustRightInd w:val="0"/>
              <w:snapToGrid w:val="0"/>
              <w:jc w:val="center"/>
              <w:rPr>
                <w:rFonts w:hint="eastAsia" w:ascii="方正黑体_GBK" w:eastAsia="方正黑体_GBK" w:cs="宋体"/>
                <w:bCs/>
                <w:snapToGrid w:val="0"/>
                <w:color w:val="000000"/>
                <w:sz w:val="21"/>
                <w:szCs w:val="21"/>
              </w:rPr>
            </w:pPr>
            <w:r>
              <w:rPr>
                <w:rFonts w:hint="eastAsia" w:ascii="方正黑体_GBK" w:eastAsia="方正黑体_GBK" w:cs="宋体"/>
                <w:bCs/>
                <w:snapToGrid w:val="0"/>
                <w:color w:val="000000"/>
                <w:sz w:val="21"/>
                <w:szCs w:val="21"/>
              </w:rPr>
              <w:t>分值</w:t>
            </w:r>
          </w:p>
        </w:tc>
        <w:tc>
          <w:tcPr>
            <w:tcW w:w="3014" w:type="dxa"/>
            <w:vAlign w:val="center"/>
          </w:tcPr>
          <w:p>
            <w:pPr>
              <w:widowControl/>
              <w:adjustRightInd w:val="0"/>
              <w:snapToGrid w:val="0"/>
              <w:jc w:val="center"/>
              <w:rPr>
                <w:rFonts w:hint="eastAsia" w:ascii="方正黑体_GBK" w:eastAsia="方正黑体_GBK" w:cs="宋体"/>
                <w:bCs/>
                <w:snapToGrid w:val="0"/>
                <w:color w:val="000000"/>
                <w:sz w:val="21"/>
                <w:szCs w:val="21"/>
              </w:rPr>
            </w:pPr>
            <w:r>
              <w:rPr>
                <w:rFonts w:hint="eastAsia" w:ascii="方正黑体_GBK" w:eastAsia="方正黑体_GBK" w:cs="宋体"/>
                <w:bCs/>
                <w:snapToGrid w:val="0"/>
                <w:color w:val="000000"/>
                <w:sz w:val="21"/>
                <w:szCs w:val="21"/>
              </w:rPr>
              <w:t>指标考评内容</w:t>
            </w:r>
          </w:p>
        </w:tc>
        <w:tc>
          <w:tcPr>
            <w:tcW w:w="3194" w:type="dxa"/>
            <w:vAlign w:val="center"/>
          </w:tcPr>
          <w:p>
            <w:pPr>
              <w:widowControl/>
              <w:adjustRightInd w:val="0"/>
              <w:snapToGrid w:val="0"/>
              <w:jc w:val="center"/>
              <w:rPr>
                <w:rFonts w:hint="eastAsia" w:ascii="方正黑体_GBK" w:eastAsia="方正黑体_GBK" w:cs="宋体"/>
                <w:bCs/>
                <w:snapToGrid w:val="0"/>
                <w:color w:val="000000"/>
                <w:sz w:val="21"/>
                <w:szCs w:val="21"/>
              </w:rPr>
            </w:pPr>
            <w:r>
              <w:rPr>
                <w:rFonts w:hint="eastAsia" w:ascii="方正黑体_GBK" w:eastAsia="方正黑体_GBK" w:cs="宋体"/>
                <w:bCs/>
                <w:snapToGrid w:val="0"/>
                <w:color w:val="000000"/>
                <w:sz w:val="21"/>
                <w:szCs w:val="21"/>
              </w:rPr>
              <w:t>评分细则</w:t>
            </w:r>
          </w:p>
        </w:tc>
        <w:tc>
          <w:tcPr>
            <w:tcW w:w="2755" w:type="dxa"/>
            <w:vAlign w:val="center"/>
          </w:tcPr>
          <w:p>
            <w:pPr>
              <w:widowControl/>
              <w:adjustRightInd w:val="0"/>
              <w:snapToGrid w:val="0"/>
              <w:jc w:val="center"/>
              <w:rPr>
                <w:rFonts w:hint="eastAsia" w:ascii="方正黑体_GBK" w:eastAsia="方正黑体_GBK" w:cs="宋体"/>
                <w:bCs/>
                <w:snapToGrid w:val="0"/>
                <w:color w:val="000000"/>
                <w:sz w:val="21"/>
                <w:szCs w:val="21"/>
              </w:rPr>
            </w:pPr>
            <w:r>
              <w:rPr>
                <w:rFonts w:hint="eastAsia" w:ascii="方正黑体_GBK" w:eastAsia="方正黑体_GBK" w:cs="宋体"/>
                <w:bCs/>
                <w:snapToGrid w:val="0"/>
                <w:color w:val="000000"/>
                <w:sz w:val="21"/>
                <w:szCs w:val="21"/>
              </w:rPr>
              <w:t>数据来源</w:t>
            </w:r>
          </w:p>
        </w:tc>
        <w:tc>
          <w:tcPr>
            <w:tcW w:w="638" w:type="dxa"/>
            <w:vAlign w:val="center"/>
          </w:tcPr>
          <w:p>
            <w:pPr>
              <w:widowControl/>
              <w:adjustRightInd w:val="0"/>
              <w:snapToGrid w:val="0"/>
              <w:jc w:val="center"/>
              <w:rPr>
                <w:rFonts w:hint="eastAsia" w:ascii="方正黑体_GBK" w:eastAsia="方正黑体_GBK" w:cs="宋体"/>
                <w:bCs/>
                <w:snapToGrid w:val="0"/>
                <w:color w:val="000000"/>
                <w:sz w:val="21"/>
                <w:szCs w:val="21"/>
              </w:rPr>
            </w:pPr>
            <w:r>
              <w:rPr>
                <w:rFonts w:hint="eastAsia" w:ascii="方正黑体_GBK" w:eastAsia="方正黑体_GBK" w:cs="宋体"/>
                <w:bCs/>
                <w:snapToGrid w:val="0"/>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425" w:hRule="atLeast"/>
          <w:jc w:val="center"/>
        </w:trPr>
        <w:tc>
          <w:tcPr>
            <w:tcW w:w="625" w:type="dxa"/>
            <w:vAlign w:val="center"/>
          </w:tcPr>
          <w:p>
            <w:pPr>
              <w:widowControl/>
              <w:adjustRightInd w:val="0"/>
              <w:snapToGrid w:val="0"/>
              <w:jc w:val="center"/>
              <w:rPr>
                <w:rFonts w:hint="eastAsia" w:eastAsia="方正书宋_GBK" w:cs="宋体"/>
                <w:b/>
                <w:bCs/>
                <w:snapToGrid w:val="0"/>
                <w:color w:val="000000"/>
                <w:sz w:val="21"/>
                <w:szCs w:val="21"/>
              </w:rPr>
            </w:pPr>
          </w:p>
        </w:tc>
        <w:tc>
          <w:tcPr>
            <w:tcW w:w="1122" w:type="dxa"/>
            <w:vAlign w:val="center"/>
          </w:tcPr>
          <w:p>
            <w:pPr>
              <w:widowControl/>
              <w:adjustRightInd w:val="0"/>
              <w:snapToGrid w:val="0"/>
              <w:jc w:val="center"/>
              <w:rPr>
                <w:rFonts w:hint="eastAsia" w:eastAsia="方正书宋_GBK" w:cs="宋体"/>
                <w:b/>
                <w:bCs/>
                <w:snapToGrid w:val="0"/>
                <w:color w:val="000000"/>
                <w:sz w:val="21"/>
                <w:szCs w:val="21"/>
              </w:rPr>
            </w:pPr>
          </w:p>
        </w:tc>
        <w:tc>
          <w:tcPr>
            <w:tcW w:w="1254" w:type="dxa"/>
            <w:vAlign w:val="center"/>
          </w:tcPr>
          <w:p>
            <w:pPr>
              <w:widowControl/>
              <w:adjustRightInd w:val="0"/>
              <w:snapToGrid w:val="0"/>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合  计</w:t>
            </w:r>
          </w:p>
        </w:tc>
        <w:tc>
          <w:tcPr>
            <w:tcW w:w="630" w:type="dxa"/>
            <w:vAlign w:val="center"/>
          </w:tcPr>
          <w:p>
            <w:pPr>
              <w:widowControl/>
              <w:adjustRightInd w:val="0"/>
              <w:snapToGrid w:val="0"/>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120</w:t>
            </w:r>
          </w:p>
        </w:tc>
        <w:tc>
          <w:tcPr>
            <w:tcW w:w="3014" w:type="dxa"/>
            <w:vAlign w:val="center"/>
          </w:tcPr>
          <w:p>
            <w:pPr>
              <w:widowControl/>
              <w:adjustRightInd w:val="0"/>
              <w:snapToGrid w:val="0"/>
              <w:jc w:val="center"/>
              <w:rPr>
                <w:rFonts w:hint="eastAsia" w:eastAsia="方正书宋_GBK" w:cs="宋体"/>
                <w:b/>
                <w:bCs/>
                <w:snapToGrid w:val="0"/>
                <w:color w:val="000000"/>
                <w:sz w:val="21"/>
                <w:szCs w:val="21"/>
              </w:rPr>
            </w:pPr>
          </w:p>
        </w:tc>
        <w:tc>
          <w:tcPr>
            <w:tcW w:w="3194" w:type="dxa"/>
            <w:vAlign w:val="center"/>
          </w:tcPr>
          <w:p>
            <w:pPr>
              <w:widowControl/>
              <w:adjustRightInd w:val="0"/>
              <w:snapToGrid w:val="0"/>
              <w:jc w:val="center"/>
              <w:rPr>
                <w:rFonts w:hint="eastAsia" w:eastAsia="方正书宋_GBK" w:cs="宋体"/>
                <w:b/>
                <w:bCs/>
                <w:snapToGrid w:val="0"/>
                <w:color w:val="000000"/>
                <w:sz w:val="21"/>
                <w:szCs w:val="21"/>
              </w:rPr>
            </w:pPr>
          </w:p>
        </w:tc>
        <w:tc>
          <w:tcPr>
            <w:tcW w:w="2755" w:type="dxa"/>
            <w:vAlign w:val="center"/>
          </w:tcPr>
          <w:p>
            <w:pPr>
              <w:widowControl/>
              <w:adjustRightInd w:val="0"/>
              <w:snapToGrid w:val="0"/>
              <w:jc w:val="center"/>
              <w:rPr>
                <w:rFonts w:hint="eastAsia" w:eastAsia="方正书宋_GBK" w:cs="宋体"/>
                <w:b/>
                <w:bCs/>
                <w:snapToGrid w:val="0"/>
                <w:color w:val="000000"/>
                <w:sz w:val="21"/>
                <w:szCs w:val="21"/>
              </w:rPr>
            </w:pPr>
          </w:p>
        </w:tc>
        <w:tc>
          <w:tcPr>
            <w:tcW w:w="638" w:type="dxa"/>
            <w:vAlign w:val="center"/>
          </w:tcPr>
          <w:p>
            <w:pPr>
              <w:widowControl/>
              <w:adjustRightInd w:val="0"/>
              <w:snapToGrid w:val="0"/>
              <w:jc w:val="center"/>
              <w:rPr>
                <w:rFonts w:hint="eastAsia" w:eastAsia="方正书宋_GBK" w:cs="宋体"/>
                <w:b/>
                <w:bCs/>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restart"/>
            <w:vAlign w:val="center"/>
          </w:tcPr>
          <w:p>
            <w:pPr>
              <w:widowControl/>
              <w:adjustRightInd w:val="0"/>
              <w:snapToGrid w:val="0"/>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一</w:t>
            </w:r>
          </w:p>
        </w:tc>
        <w:tc>
          <w:tcPr>
            <w:tcW w:w="1122" w:type="dxa"/>
            <w:vMerge w:val="restart"/>
            <w:vAlign w:val="center"/>
          </w:tcPr>
          <w:p>
            <w:pPr>
              <w:widowControl/>
              <w:adjustRightInd w:val="0"/>
              <w:snapToGrid w:val="0"/>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自治区层面统筹推进重大项目完成情况（44分）</w:t>
            </w: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各市所承担的重大项目推进工作量情况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8</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所负责推进自治区层面统筹推进重大项目的数量</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考评得分＝20个以下（含20个）得5分，每增加1个项目得0.1分，最高加3分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项目数量以自治区人民政府批准的文件为准，年度增补计划一并纳入计算</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2456" w:hRule="atLeast"/>
          <w:jc w:val="center"/>
        </w:trPr>
        <w:tc>
          <w:tcPr>
            <w:tcW w:w="625" w:type="dxa"/>
            <w:vMerge w:val="continue"/>
            <w:vAlign w:val="center"/>
          </w:tcPr>
          <w:p>
            <w:pPr>
              <w:widowControl/>
              <w:adjustRightInd w:val="0"/>
              <w:snapToGrid w:val="0"/>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rPr>
                <w:rFonts w:hint="eastAsia" w:eastAsia="方正书宋_GBK" w:cs="宋体"/>
                <w:b/>
                <w:bCs/>
                <w:snapToGrid w:val="0"/>
                <w:color w:val="000000"/>
                <w:sz w:val="21"/>
                <w:szCs w:val="21"/>
              </w:rPr>
            </w:pP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前期工作完成情况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10</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新开工和预备重大项目在年内实际完成的规划选址、土地预审、环境评价、投资许可等4个主要前期工作环节审批手续情况</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分别赋予规划选址、土地预审、环境评价、投资许可等4个环节权数0.2、0.3、0.3、0.2，考评得分=[（年内实际完成前期工作对应权数和）/（年内需完成的前期工作对应权数和）]×10。没有计划新开工和预备项目的，得各市考评的最低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由各市提供证明材料（4个主要前期工作环节的相关审批文件），自治区重大办核实认定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2805" w:hRule="atLeast"/>
          <w:jc w:val="center"/>
        </w:trPr>
        <w:tc>
          <w:tcPr>
            <w:tcW w:w="625" w:type="dxa"/>
            <w:vMerge w:val="continue"/>
            <w:vAlign w:val="center"/>
          </w:tcPr>
          <w:p>
            <w:pPr>
              <w:widowControl/>
              <w:adjustRightInd w:val="0"/>
              <w:snapToGrid w:val="0"/>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rPr>
                <w:rFonts w:hint="eastAsia" w:eastAsia="方正书宋_GBK" w:cs="宋体"/>
                <w:b/>
                <w:bCs/>
                <w:snapToGrid w:val="0"/>
                <w:color w:val="000000"/>
                <w:sz w:val="21"/>
                <w:szCs w:val="21"/>
              </w:rPr>
            </w:pP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开工完成情况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8</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开工率＝实质性开工项目数/年度计划新开工重大项目数。（①开展主体工程施工；②已进行场地“三通一平”，月月有投资进度，形成连续施工。满足两个条件之一的，可认定为开工项目。预备项目实现开工的，既纳入分子也纳入分母计算。）</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考评得分＝开工率×8，没有计划新开工项目的，得各市考评的最低分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由各市提供证明材料（项目开工现场图片，施工合同等），自治区重大办核实认定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restart"/>
            <w:vAlign w:val="center"/>
          </w:tcPr>
          <w:p>
            <w:pPr>
              <w:widowControl/>
              <w:adjustRightInd w:val="0"/>
              <w:snapToGrid w:val="0"/>
              <w:spacing w:line="310" w:lineRule="exact"/>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一</w:t>
            </w:r>
          </w:p>
        </w:tc>
        <w:tc>
          <w:tcPr>
            <w:tcW w:w="1122" w:type="dxa"/>
            <w:vMerge w:val="restart"/>
            <w:vAlign w:val="center"/>
          </w:tcPr>
          <w:p>
            <w:pPr>
              <w:widowControl/>
              <w:adjustRightInd w:val="0"/>
              <w:snapToGrid w:val="0"/>
              <w:spacing w:line="310" w:lineRule="exact"/>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自治区层面统筹推进重大项目完成情况</w:t>
            </w:r>
          </w:p>
        </w:tc>
        <w:tc>
          <w:tcPr>
            <w:tcW w:w="125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竣工完成情况</w:t>
            </w:r>
          </w:p>
        </w:tc>
        <w:tc>
          <w:tcPr>
            <w:tcW w:w="630"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8</w:t>
            </w:r>
          </w:p>
        </w:tc>
        <w:tc>
          <w:tcPr>
            <w:tcW w:w="301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竣工率＝年度实际竣工项目数/计划竣工重大项目数。（①主体工程基本建成，剩余附属工程量不超过总投资10%；②设备已安装调试，已具备试生产条件。满足两个条件之一的，可认定为竣工项目。续建项目实现竣工的既纳入分子也纳入分母计算）</w:t>
            </w:r>
          </w:p>
        </w:tc>
        <w:tc>
          <w:tcPr>
            <w:tcW w:w="319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考评得分＝竣工率×8，没有计划竣工项目的，得各市考评的最低分</w:t>
            </w:r>
          </w:p>
        </w:tc>
        <w:tc>
          <w:tcPr>
            <w:tcW w:w="2755"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由各市提供证明材料，年度计划竣工项目数以自治区政府批准文件为准，实际竣工项目数由自治区重大办核实认定（部分竣工项目，不作为竣工项目统计）</w:t>
            </w:r>
          </w:p>
        </w:tc>
        <w:tc>
          <w:tcPr>
            <w:tcW w:w="638"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continue"/>
            <w:vAlign w:val="center"/>
          </w:tcPr>
          <w:p>
            <w:pPr>
              <w:widowControl/>
              <w:adjustRightInd w:val="0"/>
              <w:snapToGrid w:val="0"/>
              <w:spacing w:line="310" w:lineRule="exact"/>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spacing w:line="310" w:lineRule="exact"/>
              <w:rPr>
                <w:rFonts w:hint="eastAsia" w:eastAsia="方正书宋_GBK" w:cs="宋体"/>
                <w:b/>
                <w:bCs/>
                <w:snapToGrid w:val="0"/>
                <w:color w:val="000000"/>
                <w:sz w:val="21"/>
                <w:szCs w:val="21"/>
              </w:rPr>
            </w:pPr>
          </w:p>
        </w:tc>
        <w:tc>
          <w:tcPr>
            <w:tcW w:w="125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投资完成情况</w:t>
            </w:r>
          </w:p>
        </w:tc>
        <w:tc>
          <w:tcPr>
            <w:tcW w:w="630"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10</w:t>
            </w:r>
          </w:p>
        </w:tc>
        <w:tc>
          <w:tcPr>
            <w:tcW w:w="301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年度投资计划完成率＝当年所有项目累计完成投资额/当年计划投资额</w:t>
            </w:r>
          </w:p>
        </w:tc>
        <w:tc>
          <w:tcPr>
            <w:tcW w:w="319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考评得分＝投资完成率×10，最高得10分</w:t>
            </w:r>
          </w:p>
        </w:tc>
        <w:tc>
          <w:tcPr>
            <w:tcW w:w="2755"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当年累计完成额以自治区统计部门提供数据为准，当年计划投资额以自治区政府批准的文件为准。由各市申报，自治区重大办认定</w:t>
            </w:r>
          </w:p>
        </w:tc>
        <w:tc>
          <w:tcPr>
            <w:tcW w:w="638"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restart"/>
            <w:vAlign w:val="center"/>
          </w:tcPr>
          <w:p>
            <w:pPr>
              <w:widowControl/>
              <w:adjustRightInd w:val="0"/>
              <w:snapToGrid w:val="0"/>
              <w:spacing w:line="310" w:lineRule="exact"/>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二</w:t>
            </w:r>
          </w:p>
        </w:tc>
        <w:tc>
          <w:tcPr>
            <w:tcW w:w="1122" w:type="dxa"/>
            <w:vMerge w:val="restart"/>
            <w:vAlign w:val="center"/>
          </w:tcPr>
          <w:p>
            <w:pPr>
              <w:widowControl/>
              <w:adjustRightInd w:val="0"/>
              <w:snapToGrid w:val="0"/>
              <w:spacing w:line="310" w:lineRule="exact"/>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自治区重大项目三年滚动计划年度实施情况（24分）</w:t>
            </w:r>
          </w:p>
        </w:tc>
        <w:tc>
          <w:tcPr>
            <w:tcW w:w="125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储备项目总数</w:t>
            </w:r>
          </w:p>
        </w:tc>
        <w:tc>
          <w:tcPr>
            <w:tcW w:w="630"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8</w:t>
            </w:r>
          </w:p>
        </w:tc>
        <w:tc>
          <w:tcPr>
            <w:tcW w:w="301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各市纳入自治区重大项目三年滚动计划目录的项目总数</w:t>
            </w:r>
          </w:p>
        </w:tc>
        <w:tc>
          <w:tcPr>
            <w:tcW w:w="319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考评得分＝200个以下（含200个）得5分，每增加10个项目得0.1分，最高加3分</w:t>
            </w:r>
          </w:p>
        </w:tc>
        <w:tc>
          <w:tcPr>
            <w:tcW w:w="2755"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由各市申报，自治区重大办认定</w:t>
            </w:r>
          </w:p>
        </w:tc>
        <w:tc>
          <w:tcPr>
            <w:tcW w:w="638"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1772" w:hRule="atLeast"/>
          <w:jc w:val="center"/>
        </w:trPr>
        <w:tc>
          <w:tcPr>
            <w:tcW w:w="625" w:type="dxa"/>
            <w:vMerge w:val="continue"/>
            <w:vAlign w:val="center"/>
          </w:tcPr>
          <w:p>
            <w:pPr>
              <w:widowControl/>
              <w:adjustRightInd w:val="0"/>
              <w:snapToGrid w:val="0"/>
              <w:spacing w:line="310" w:lineRule="exact"/>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spacing w:line="310" w:lineRule="exact"/>
              <w:rPr>
                <w:rFonts w:hint="eastAsia" w:eastAsia="方正书宋_GBK" w:cs="宋体"/>
                <w:b/>
                <w:bCs/>
                <w:snapToGrid w:val="0"/>
                <w:color w:val="000000"/>
                <w:sz w:val="21"/>
                <w:szCs w:val="21"/>
              </w:rPr>
            </w:pPr>
          </w:p>
        </w:tc>
        <w:tc>
          <w:tcPr>
            <w:tcW w:w="125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储备项目质量</w:t>
            </w:r>
          </w:p>
        </w:tc>
        <w:tc>
          <w:tcPr>
            <w:tcW w:w="630"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8</w:t>
            </w:r>
          </w:p>
        </w:tc>
        <w:tc>
          <w:tcPr>
            <w:tcW w:w="301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考核三年滚动计划项目列入年度自治区层面统筹推进重大项目计划的比例，即各市纳入三年滚动计划的项目中，已列入年度自治区层面统筹推进重大项目的项目个数占项目总数的比例</w:t>
            </w:r>
          </w:p>
        </w:tc>
        <w:tc>
          <w:tcPr>
            <w:tcW w:w="319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自治区层面统筹推进重大项目占比大于30%（包括30%）得5分，每增加5个百分点加1分，最高加3分</w:t>
            </w:r>
          </w:p>
        </w:tc>
        <w:tc>
          <w:tcPr>
            <w:tcW w:w="2755"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由自治区重大办认定</w:t>
            </w:r>
          </w:p>
        </w:tc>
        <w:tc>
          <w:tcPr>
            <w:tcW w:w="638"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1138" w:hRule="atLeast"/>
          <w:jc w:val="center"/>
        </w:trPr>
        <w:tc>
          <w:tcPr>
            <w:tcW w:w="625" w:type="dxa"/>
            <w:vMerge w:val="continue"/>
            <w:vAlign w:val="center"/>
          </w:tcPr>
          <w:p>
            <w:pPr>
              <w:widowControl/>
              <w:adjustRightInd w:val="0"/>
              <w:snapToGrid w:val="0"/>
              <w:spacing w:line="310" w:lineRule="exact"/>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spacing w:line="310" w:lineRule="exact"/>
              <w:rPr>
                <w:rFonts w:hint="eastAsia" w:eastAsia="方正书宋_GBK" w:cs="宋体"/>
                <w:b/>
                <w:bCs/>
                <w:snapToGrid w:val="0"/>
                <w:color w:val="000000"/>
                <w:sz w:val="21"/>
                <w:szCs w:val="21"/>
              </w:rPr>
            </w:pPr>
          </w:p>
        </w:tc>
        <w:tc>
          <w:tcPr>
            <w:tcW w:w="125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开工转化比例</w:t>
            </w:r>
          </w:p>
        </w:tc>
        <w:tc>
          <w:tcPr>
            <w:tcW w:w="630"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8</w:t>
            </w:r>
          </w:p>
        </w:tc>
        <w:tc>
          <w:tcPr>
            <w:tcW w:w="301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考核三年滚动计划项目的年度开工率</w:t>
            </w:r>
          </w:p>
        </w:tc>
        <w:tc>
          <w:tcPr>
            <w:tcW w:w="3194"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考评得分＝年度开工率×8</w:t>
            </w:r>
          </w:p>
        </w:tc>
        <w:tc>
          <w:tcPr>
            <w:tcW w:w="2755" w:type="dxa"/>
            <w:vAlign w:val="center"/>
          </w:tcPr>
          <w:p>
            <w:pPr>
              <w:widowControl/>
              <w:adjustRightInd w:val="0"/>
              <w:snapToGrid w:val="0"/>
              <w:spacing w:line="310" w:lineRule="exact"/>
              <w:rPr>
                <w:rFonts w:hint="eastAsia" w:eastAsia="方正书宋_GBK" w:cs="宋体"/>
                <w:snapToGrid w:val="0"/>
                <w:color w:val="000000"/>
                <w:sz w:val="21"/>
                <w:szCs w:val="21"/>
              </w:rPr>
            </w:pPr>
            <w:r>
              <w:rPr>
                <w:rFonts w:hint="eastAsia" w:eastAsia="方正书宋_GBK" w:cs="宋体"/>
                <w:snapToGrid w:val="0"/>
                <w:color w:val="000000"/>
                <w:sz w:val="21"/>
                <w:szCs w:val="21"/>
              </w:rPr>
              <w:t>由各市逐个项目提供施工合同文件以及现场施工图片（未签订施工合同的不认定为实质性开工），具体由自治区重大办核实认定</w:t>
            </w:r>
          </w:p>
        </w:tc>
        <w:tc>
          <w:tcPr>
            <w:tcW w:w="638" w:type="dxa"/>
            <w:vAlign w:val="center"/>
          </w:tcPr>
          <w:p>
            <w:pPr>
              <w:widowControl/>
              <w:adjustRightInd w:val="0"/>
              <w:snapToGrid w:val="0"/>
              <w:spacing w:line="310" w:lineRule="exact"/>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restart"/>
            <w:vAlign w:val="center"/>
          </w:tcPr>
          <w:p>
            <w:pPr>
              <w:widowControl/>
              <w:adjustRightInd w:val="0"/>
              <w:snapToGrid w:val="0"/>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三</w:t>
            </w:r>
          </w:p>
        </w:tc>
        <w:tc>
          <w:tcPr>
            <w:tcW w:w="1122" w:type="dxa"/>
            <w:vMerge w:val="restart"/>
            <w:vAlign w:val="center"/>
          </w:tcPr>
          <w:p>
            <w:pPr>
              <w:widowControl/>
              <w:adjustRightInd w:val="0"/>
              <w:snapToGrid w:val="0"/>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重大项目对固定资产投资的贡献情况（12分）</w:t>
            </w: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重大项目完成投资对固定资产投资的贡献情况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4</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考核各市重大项目完成投资对该市固定资产完成投资的贡献率</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投资贡献率（%）＝（年度本市自治区重大项目投资完成数额）/（年度本市固定资产投资完成数额）×100。按投资贡献率大小排序，每四名一个等次，分别得4、3、2、1分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自治区重大项目投资完成数额为自治区层面统筹推进重大项目与市级重大项目完成投资之和，由自治区统计局提供数据</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continue"/>
            <w:vAlign w:val="center"/>
          </w:tcPr>
          <w:p>
            <w:pPr>
              <w:widowControl/>
              <w:adjustRightInd w:val="0"/>
              <w:snapToGrid w:val="0"/>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rPr>
                <w:rFonts w:hint="eastAsia" w:eastAsia="方正书宋_GBK" w:cs="宋体"/>
                <w:b/>
                <w:bCs/>
                <w:snapToGrid w:val="0"/>
                <w:color w:val="000000"/>
                <w:sz w:val="21"/>
                <w:szCs w:val="21"/>
              </w:rPr>
            </w:pP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重大项目投资增长情况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4</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考核各市年度自治区重大项目完成投资的同比增长率</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考评得分=（考核年度该市自治区重大项目完成投资/上一年度该市自治区重大项目完成投资），增长15%得3分，每增加一个百分点加0.1分，最多加1分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由各市申报，自治区重大办认定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continue"/>
            <w:vAlign w:val="center"/>
          </w:tcPr>
          <w:p>
            <w:pPr>
              <w:widowControl/>
              <w:adjustRightInd w:val="0"/>
              <w:snapToGrid w:val="0"/>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rPr>
                <w:rFonts w:hint="eastAsia" w:eastAsia="方正书宋_GBK" w:cs="宋体"/>
                <w:b/>
                <w:bCs/>
                <w:snapToGrid w:val="0"/>
                <w:color w:val="000000"/>
                <w:sz w:val="21"/>
                <w:szCs w:val="21"/>
              </w:rPr>
            </w:pP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重大项目投资完成占比情况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4</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考核各市重大项目完成投资占全区14个设区市重大项目完成投资的比例</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重大项目投资占比率（%）＝（年度本市自治区重大项目投资完成数额）/（年度全区十四个设区市重大项目投资完成数额）×100。按投资占比率高低排序，每四名一个等次，分别得4、3、2、1分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自治区重大项目投资完成数额为自治区层面统筹推进重大项目与市级重大项目完成投资之和，由自治区统计局提供数据</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restart"/>
            <w:vAlign w:val="center"/>
          </w:tcPr>
          <w:p>
            <w:pPr>
              <w:widowControl/>
              <w:adjustRightInd w:val="0"/>
              <w:snapToGrid w:val="0"/>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四</w:t>
            </w:r>
          </w:p>
        </w:tc>
        <w:tc>
          <w:tcPr>
            <w:tcW w:w="1122" w:type="dxa"/>
            <w:vMerge w:val="restart"/>
            <w:vAlign w:val="center"/>
          </w:tcPr>
          <w:p>
            <w:pPr>
              <w:widowControl/>
              <w:adjustRightInd w:val="0"/>
              <w:snapToGrid w:val="0"/>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重大项目综合管理情况（20分）</w:t>
            </w: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重大项目责任制落实情况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4</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是否建立本级推进重大项目目标责任制</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建立制度得4分，未建立不得分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由各市提供证明材料，自治区重大办认定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continue"/>
            <w:vAlign w:val="center"/>
          </w:tcPr>
          <w:p>
            <w:pPr>
              <w:widowControl/>
              <w:adjustRightInd w:val="0"/>
              <w:snapToGrid w:val="0"/>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rPr>
                <w:rFonts w:hint="eastAsia" w:eastAsia="方正书宋_GBK" w:cs="宋体"/>
                <w:b/>
                <w:bCs/>
                <w:snapToGrid w:val="0"/>
                <w:color w:val="000000"/>
                <w:sz w:val="21"/>
                <w:szCs w:val="21"/>
              </w:rPr>
            </w:pP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重大项目协调服务情况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4</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是否对重大项目推进中的问题进行协调服务</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全年召开三次以上本级协调会得4分，不够三次的，每少一次扣1分，未召开不得分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由各市提供协调会议纪要，自治区重大办认定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1115" w:hRule="atLeast"/>
          <w:jc w:val="center"/>
        </w:trPr>
        <w:tc>
          <w:tcPr>
            <w:tcW w:w="625" w:type="dxa"/>
            <w:vMerge w:val="continue"/>
            <w:vAlign w:val="center"/>
          </w:tcPr>
          <w:p>
            <w:pPr>
              <w:widowControl/>
              <w:adjustRightInd w:val="0"/>
              <w:snapToGrid w:val="0"/>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rPr>
                <w:rFonts w:hint="eastAsia" w:eastAsia="方正书宋_GBK" w:cs="宋体"/>
                <w:b/>
                <w:bCs/>
                <w:snapToGrid w:val="0"/>
                <w:color w:val="000000"/>
                <w:sz w:val="21"/>
                <w:szCs w:val="21"/>
              </w:rPr>
            </w:pP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重大项目宣传报道情况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4</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是否向自治区发展改革委重大项目子站报送本市重大项目建设宣传信息</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全年报送5条及以上信息得4分，不够5条的，每少1条扣1分，未报送不得分。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由各市整理申报，自治区重大办认定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restart"/>
            <w:vAlign w:val="center"/>
          </w:tcPr>
          <w:p>
            <w:pPr>
              <w:widowControl/>
              <w:adjustRightInd w:val="0"/>
              <w:snapToGrid w:val="0"/>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四</w:t>
            </w:r>
          </w:p>
        </w:tc>
        <w:tc>
          <w:tcPr>
            <w:tcW w:w="1122" w:type="dxa"/>
            <w:vMerge w:val="restart"/>
            <w:vAlign w:val="center"/>
          </w:tcPr>
          <w:p>
            <w:pPr>
              <w:widowControl/>
              <w:adjustRightInd w:val="0"/>
              <w:snapToGrid w:val="0"/>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重大项目综合管理情况</w:t>
            </w: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重大项目督查督办情况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4</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是否开展重大项目督促检查</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全年开展2次及以上督查工作得4分，不够2次的，每少1次扣2分，未开展不得分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由各市提供证明材料，自治区重大办认定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Merge w:val="continue"/>
            <w:vAlign w:val="center"/>
          </w:tcPr>
          <w:p>
            <w:pPr>
              <w:widowControl/>
              <w:adjustRightInd w:val="0"/>
              <w:snapToGrid w:val="0"/>
              <w:jc w:val="center"/>
              <w:rPr>
                <w:rFonts w:hint="eastAsia" w:eastAsia="方正书宋_GBK" w:cs="宋体"/>
                <w:b/>
                <w:bCs/>
                <w:snapToGrid w:val="0"/>
                <w:color w:val="000000"/>
                <w:sz w:val="21"/>
                <w:szCs w:val="21"/>
              </w:rPr>
            </w:pPr>
          </w:p>
        </w:tc>
        <w:tc>
          <w:tcPr>
            <w:tcW w:w="1122" w:type="dxa"/>
            <w:vMerge w:val="continue"/>
            <w:vAlign w:val="center"/>
          </w:tcPr>
          <w:p>
            <w:pPr>
              <w:widowControl/>
              <w:adjustRightInd w:val="0"/>
              <w:snapToGrid w:val="0"/>
              <w:rPr>
                <w:rFonts w:hint="eastAsia" w:eastAsia="方正书宋_GBK" w:cs="宋体"/>
                <w:b/>
                <w:bCs/>
                <w:snapToGrid w:val="0"/>
                <w:color w:val="000000"/>
                <w:sz w:val="21"/>
                <w:szCs w:val="21"/>
              </w:rPr>
            </w:pP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重大项目信息报送情况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4</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是否按时报送月报</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每个月都按时报送且质量高的，得4分。按时报送的月份每少1个月，减0.5分，减完为止</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由自治区重大办根据工作纪录认定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基本指标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Align w:val="center"/>
          </w:tcPr>
          <w:p>
            <w:pPr>
              <w:widowControl/>
              <w:adjustRightInd w:val="0"/>
              <w:snapToGrid w:val="0"/>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五</w:t>
            </w:r>
          </w:p>
        </w:tc>
        <w:tc>
          <w:tcPr>
            <w:tcW w:w="1122" w:type="dxa"/>
            <w:vAlign w:val="center"/>
          </w:tcPr>
          <w:p>
            <w:pPr>
              <w:widowControl/>
              <w:adjustRightInd w:val="0"/>
              <w:snapToGrid w:val="0"/>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重大项目推进工作创新情况（10分）</w:t>
            </w: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重大项目推进机制及相关政策文件制定情况</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10</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是否创新重大项目审批、协调、服务、督查等工作机制，以及是否出台加快推进重大项目建设相关政策文件</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建立相关机制占5分，出台相关政策文件占5分</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由各市提供证明材料，自治区重大办组织考评工作组进行综合认定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加分指标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57" w:type="dxa"/>
            <w:bottom w:w="15" w:type="dxa"/>
            <w:right w:w="57" w:type="dxa"/>
          </w:tblCellMar>
        </w:tblPrEx>
        <w:trPr>
          <w:trHeight w:val="340" w:hRule="atLeast"/>
          <w:jc w:val="center"/>
        </w:trPr>
        <w:tc>
          <w:tcPr>
            <w:tcW w:w="625" w:type="dxa"/>
            <w:vAlign w:val="center"/>
          </w:tcPr>
          <w:p>
            <w:pPr>
              <w:widowControl/>
              <w:adjustRightInd w:val="0"/>
              <w:snapToGrid w:val="0"/>
              <w:jc w:val="center"/>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六</w:t>
            </w:r>
          </w:p>
        </w:tc>
        <w:tc>
          <w:tcPr>
            <w:tcW w:w="1122" w:type="dxa"/>
            <w:vAlign w:val="center"/>
          </w:tcPr>
          <w:p>
            <w:pPr>
              <w:widowControl/>
              <w:adjustRightInd w:val="0"/>
              <w:snapToGrid w:val="0"/>
              <w:rPr>
                <w:rFonts w:hint="eastAsia" w:eastAsia="方正书宋_GBK" w:cs="宋体"/>
                <w:b/>
                <w:bCs/>
                <w:snapToGrid w:val="0"/>
                <w:color w:val="000000"/>
                <w:sz w:val="21"/>
                <w:szCs w:val="21"/>
              </w:rPr>
            </w:pPr>
            <w:r>
              <w:rPr>
                <w:rFonts w:hint="eastAsia" w:eastAsia="方正书宋_GBK" w:cs="宋体"/>
                <w:b/>
                <w:bCs/>
                <w:snapToGrid w:val="0"/>
                <w:color w:val="000000"/>
                <w:sz w:val="21"/>
                <w:szCs w:val="21"/>
              </w:rPr>
              <w:t>重大项目推进工作满意度评价（10分）</w:t>
            </w:r>
          </w:p>
        </w:tc>
        <w:tc>
          <w:tcPr>
            <w:tcW w:w="125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项目业主对该市推进重大项目工作的满意度</w:t>
            </w:r>
          </w:p>
        </w:tc>
        <w:tc>
          <w:tcPr>
            <w:tcW w:w="630"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10</w:t>
            </w:r>
          </w:p>
        </w:tc>
        <w:tc>
          <w:tcPr>
            <w:tcW w:w="301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项目业主对本级政府推进重大项目建设工的认可程度、满意程度</w:t>
            </w:r>
          </w:p>
        </w:tc>
        <w:tc>
          <w:tcPr>
            <w:tcW w:w="3194"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委托民调机构开展满意度调查，由重大项目业主对各市政府重大项目推进工作的速度、效率、服务态度等方面进行打分，调查结果作为评分依据</w:t>
            </w:r>
          </w:p>
        </w:tc>
        <w:tc>
          <w:tcPr>
            <w:tcW w:w="2755" w:type="dxa"/>
            <w:vAlign w:val="center"/>
          </w:tcPr>
          <w:p>
            <w:pPr>
              <w:widowControl/>
              <w:adjustRightInd w:val="0"/>
              <w:snapToGrid w:val="0"/>
              <w:rPr>
                <w:rFonts w:hint="eastAsia" w:eastAsia="方正书宋_GBK" w:cs="宋体"/>
                <w:snapToGrid w:val="0"/>
                <w:color w:val="000000"/>
                <w:sz w:val="21"/>
                <w:szCs w:val="21"/>
              </w:rPr>
            </w:pPr>
            <w:r>
              <w:rPr>
                <w:rFonts w:hint="eastAsia" w:eastAsia="方正书宋_GBK" w:cs="宋体"/>
                <w:snapToGrid w:val="0"/>
                <w:color w:val="000000"/>
                <w:sz w:val="21"/>
                <w:szCs w:val="21"/>
              </w:rPr>
              <w:t>由中介机构组织开展，自治区重大办认定</w:t>
            </w:r>
          </w:p>
        </w:tc>
        <w:tc>
          <w:tcPr>
            <w:tcW w:w="638" w:type="dxa"/>
            <w:vAlign w:val="center"/>
          </w:tcPr>
          <w:p>
            <w:pPr>
              <w:widowControl/>
              <w:adjustRightInd w:val="0"/>
              <w:snapToGrid w:val="0"/>
              <w:jc w:val="center"/>
              <w:rPr>
                <w:rFonts w:hint="eastAsia" w:eastAsia="方正书宋_GBK" w:cs="宋体"/>
                <w:snapToGrid w:val="0"/>
                <w:color w:val="000000"/>
                <w:sz w:val="21"/>
                <w:szCs w:val="21"/>
              </w:rPr>
            </w:pPr>
            <w:r>
              <w:rPr>
                <w:rFonts w:hint="eastAsia" w:eastAsia="方正书宋_GBK" w:cs="宋体"/>
                <w:snapToGrid w:val="0"/>
                <w:color w:val="000000"/>
                <w:sz w:val="21"/>
                <w:szCs w:val="21"/>
              </w:rPr>
              <w:t>加分指标</w:t>
            </w:r>
          </w:p>
        </w:tc>
      </w:tr>
    </w:tbl>
    <w:p/>
    <w:sectPr>
      <w:pgSz w:w="16838" w:h="11906" w:orient="landscape"/>
      <w:pgMar w:top="1417" w:right="1928" w:bottom="1417" w:left="1814"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Times New Roman"/>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DengXian Light">
    <w:altName w:val="PMingLiU"/>
    <w:panose1 w:val="00000000000000000000"/>
    <w:charset w:val="88"/>
    <w:family w:val="auto"/>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FZXBSJW--GB1-0">
    <w:altName w:val="微软雅黑"/>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ind w:left="300" w:leftChars="100" w:right="300" w:rightChars="100"/>
      <w:jc w:val="both"/>
      <w:rPr>
        <w:rStyle w:val="4"/>
        <w:rFonts w:hint="eastAsia" w:eastAsia="方正仿宋_GBK"/>
        <w:sz w:val="28"/>
        <w:szCs w:val="28"/>
      </w:rPr>
    </w:pPr>
    <w:r>
      <w:rPr>
        <w:rStyle w:val="4"/>
        <w:rFonts w:hint="eastAsia" w:eastAsia="方正仿宋_GBK"/>
        <w:sz w:val="28"/>
        <w:szCs w:val="28"/>
      </w:rPr>
      <w:t>—</w:t>
    </w:r>
    <w:r>
      <w:rPr>
        <w:rStyle w:val="4"/>
        <w:rFonts w:hint="eastAsia" w:eastAsia="方正仿宋_GBK"/>
        <w:spacing w:val="-20"/>
        <w:sz w:val="28"/>
        <w:szCs w:val="28"/>
      </w:rPr>
      <w:t xml:space="preserve"> </w:t>
    </w:r>
    <w:r>
      <w:rPr>
        <w:rStyle w:val="4"/>
        <w:rFonts w:eastAsia="方正仿宋_GBK"/>
        <w:sz w:val="28"/>
        <w:szCs w:val="28"/>
      </w:rPr>
      <w:fldChar w:fldCharType="begin"/>
    </w:r>
    <w:r>
      <w:rPr>
        <w:rStyle w:val="4"/>
        <w:rFonts w:eastAsia="方正仿宋_GBK"/>
        <w:sz w:val="28"/>
        <w:szCs w:val="28"/>
      </w:rPr>
      <w:instrText xml:space="preserve">PAGE  </w:instrText>
    </w:r>
    <w:r>
      <w:rPr>
        <w:rStyle w:val="4"/>
        <w:rFonts w:eastAsia="方正仿宋_GBK"/>
        <w:sz w:val="28"/>
        <w:szCs w:val="28"/>
      </w:rPr>
      <w:fldChar w:fldCharType="separate"/>
    </w:r>
    <w:r>
      <w:rPr>
        <w:rStyle w:val="4"/>
        <w:rFonts w:eastAsia="方正仿宋_GBK"/>
        <w:sz w:val="28"/>
        <w:szCs w:val="28"/>
      </w:rPr>
      <w:t>35</w:t>
    </w:r>
    <w:r>
      <w:rPr>
        <w:rStyle w:val="4"/>
        <w:rFonts w:eastAsia="方正仿宋_GBK"/>
        <w:sz w:val="28"/>
        <w:szCs w:val="28"/>
      </w:rPr>
      <w:fldChar w:fldCharType="end"/>
    </w:r>
    <w:r>
      <w:rPr>
        <w:rStyle w:val="4"/>
        <w:rFonts w:hint="eastAsia" w:eastAsia="方正仿宋_GBK"/>
        <w:spacing w:val="-20"/>
        <w:sz w:val="28"/>
        <w:szCs w:val="28"/>
      </w:rPr>
      <w:t xml:space="preserve"> </w:t>
    </w:r>
    <w:r>
      <w:rPr>
        <w:rStyle w:val="4"/>
        <w:rFonts w:hint="eastAsia" w:eastAsia="方正仿宋_GBK"/>
        <w:sz w:val="28"/>
        <w:szCs w:val="28"/>
      </w:rPr>
      <w:t>—</w:t>
    </w:r>
  </w:p>
  <w:p>
    <w:pPr>
      <w:pStyle w:val="2"/>
      <w:adjustRightInd w:val="0"/>
      <w:ind w:right="360" w:firstLine="360"/>
      <w:rPr>
        <w:rFonts w:hint="eastAsia" w:eastAsia="方正仿宋_GBK"/>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443C6"/>
    <w:rsid w:val="24171F74"/>
    <w:rsid w:val="6DF443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2018-06-14T09:13:00Z</dcterms:created>
  <dc:creator>dengd</dc:creator>
  <cp:lastModifiedBy>dengd</cp:lastModifiedBy>
  <dcterms:modified xsi:type="dcterms:W3CDTF">2018-06-14T09:14:30Z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