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方正黑体_GBK" w:hAnsi="方正黑体_GBK" w:eastAsia="方正黑体_GBK" w:cs="方正黑体_GBK"/>
          <w:b w:val="0"/>
          <w:bCs w:val="0"/>
          <w:color w:val="auto"/>
          <w:sz w:val="32"/>
          <w:szCs w:val="32"/>
          <w:highlight w:val="none"/>
        </w:rPr>
      </w:pPr>
      <w:r>
        <w:rPr>
          <w:rFonts w:hint="eastAsia" w:ascii="方正黑体_GBK" w:hAnsi="方正黑体_GBK" w:eastAsia="方正黑体_GBK" w:cs="方正黑体_GBK"/>
          <w:b w:val="0"/>
          <w:bCs w:val="0"/>
          <w:color w:val="auto"/>
          <w:sz w:val="32"/>
          <w:szCs w:val="32"/>
          <w:highlight w:val="none"/>
        </w:rPr>
        <w:t>附件1</w:t>
      </w:r>
    </w:p>
    <w:p>
      <w:pPr>
        <w:spacing w:line="240" w:lineRule="auto"/>
        <w:jc w:val="center"/>
        <w:rPr>
          <w:rFonts w:hint="eastAsia" w:ascii="方正小标宋_GBK" w:hAnsi="方正小标宋_GBK" w:eastAsia="方正小标宋_GBK" w:cs="方正小标宋_GBK"/>
          <w:bCs w:val="0"/>
          <w:color w:val="auto"/>
          <w:sz w:val="36"/>
          <w:szCs w:val="36"/>
          <w:highlight w:val="none"/>
        </w:rPr>
      </w:pPr>
      <w:r>
        <w:rPr>
          <w:rFonts w:hint="eastAsia" w:ascii="方正小标宋_GBK" w:hAnsi="方正小标宋_GBK" w:eastAsia="方正小标宋_GBK" w:cs="方正小标宋_GBK"/>
          <w:bCs w:val="0"/>
          <w:color w:val="auto"/>
          <w:sz w:val="36"/>
          <w:szCs w:val="36"/>
          <w:highlight w:val="none"/>
        </w:rPr>
        <w:t>工程造价咨询企业</w:t>
      </w:r>
      <w:r>
        <w:rPr>
          <w:rFonts w:hint="eastAsia" w:ascii="方正小标宋_GBK" w:hAnsi="方正小标宋_GBK" w:eastAsia="方正小标宋_GBK" w:cs="方正小标宋_GBK"/>
          <w:bCs w:val="0"/>
          <w:color w:val="auto"/>
          <w:sz w:val="36"/>
          <w:szCs w:val="36"/>
          <w:highlight w:val="none"/>
          <w:lang w:val="en"/>
        </w:rPr>
        <w:t>诚信评价内容及</w:t>
      </w:r>
      <w:r>
        <w:rPr>
          <w:rFonts w:hint="eastAsia" w:ascii="方正小标宋_GBK" w:hAnsi="方正小标宋_GBK" w:eastAsia="方正小标宋_GBK" w:cs="方正小标宋_GBK"/>
          <w:bCs w:val="0"/>
          <w:color w:val="auto"/>
          <w:sz w:val="36"/>
          <w:szCs w:val="36"/>
          <w:highlight w:val="none"/>
        </w:rPr>
        <w:t>评分标准</w:t>
      </w:r>
    </w:p>
    <w:tbl>
      <w:tblPr>
        <w:tblStyle w:val="5"/>
        <w:tblW w:w="0" w:type="auto"/>
        <w:jc w:val="center"/>
        <w:tblLayout w:type="fixed"/>
        <w:tblCellMar>
          <w:top w:w="0" w:type="dxa"/>
          <w:left w:w="108" w:type="dxa"/>
          <w:bottom w:w="0" w:type="dxa"/>
          <w:right w:w="108" w:type="dxa"/>
        </w:tblCellMar>
      </w:tblPr>
      <w:tblGrid>
        <w:gridCol w:w="704"/>
        <w:gridCol w:w="431"/>
        <w:gridCol w:w="1154"/>
        <w:gridCol w:w="3131"/>
        <w:gridCol w:w="1179"/>
        <w:gridCol w:w="3062"/>
      </w:tblGrid>
      <w:tr>
        <w:tblPrEx>
          <w:tblCellMar>
            <w:top w:w="0" w:type="dxa"/>
            <w:left w:w="108" w:type="dxa"/>
            <w:bottom w:w="0" w:type="dxa"/>
            <w:right w:w="108" w:type="dxa"/>
          </w:tblCellMar>
        </w:tblPrEx>
        <w:trPr>
          <w:trHeight w:val="729"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分类</w:t>
            </w:r>
          </w:p>
        </w:tc>
        <w:tc>
          <w:tcPr>
            <w:tcW w:w="43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序号</w:t>
            </w:r>
          </w:p>
        </w:tc>
        <w:tc>
          <w:tcPr>
            <w:tcW w:w="115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评价</w:t>
            </w:r>
          </w:p>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内容</w:t>
            </w:r>
          </w:p>
        </w:tc>
        <w:tc>
          <w:tcPr>
            <w:tcW w:w="3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评分标准</w:t>
            </w:r>
          </w:p>
        </w:tc>
        <w:tc>
          <w:tcPr>
            <w:tcW w:w="117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得分值</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评分说明</w:t>
            </w:r>
          </w:p>
        </w:tc>
      </w:tr>
      <w:tr>
        <w:tblPrEx>
          <w:tblCellMar>
            <w:top w:w="0" w:type="dxa"/>
            <w:left w:w="108" w:type="dxa"/>
            <w:bottom w:w="0" w:type="dxa"/>
            <w:right w:w="108" w:type="dxa"/>
          </w:tblCellMar>
        </w:tblPrEx>
        <w:trPr>
          <w:trHeight w:val="2135" w:hRule="atLeast"/>
          <w:jc w:val="center"/>
        </w:trPr>
        <w:tc>
          <w:tcPr>
            <w:tcW w:w="704"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b/>
                <w:bCs/>
                <w:color w:val="auto"/>
                <w:kern w:val="2"/>
                <w:sz w:val="28"/>
                <w:szCs w:val="28"/>
                <w:highlight w:val="none"/>
              </w:rPr>
              <w:t>企业基本信息</w:t>
            </w:r>
          </w:p>
        </w:tc>
        <w:tc>
          <w:tcPr>
            <w:tcW w:w="43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p>
        </w:tc>
        <w:tc>
          <w:tcPr>
            <w:tcW w:w="1154"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基本</w:t>
            </w:r>
          </w:p>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情况</w:t>
            </w:r>
          </w:p>
        </w:tc>
        <w:tc>
          <w:tcPr>
            <w:tcW w:w="3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rPr>
              <w:t>企业名称、注册属地、营业范围、统一社会信用代码、办公地址、法定代表人信息、</w:t>
            </w:r>
            <w:r>
              <w:rPr>
                <w:rFonts w:hint="default" w:ascii="Times New Roman" w:hAnsi="Times New Roman" w:eastAsia="方正仿宋_GBK" w:cs="Times New Roman"/>
                <w:color w:val="auto"/>
                <w:sz w:val="28"/>
                <w:szCs w:val="28"/>
                <w:highlight w:val="none"/>
              </w:rPr>
              <w:t>企业注册造价工程师名单</w:t>
            </w:r>
            <w:r>
              <w:rPr>
                <w:rFonts w:hint="default" w:ascii="Times New Roman" w:hAnsi="Times New Roman" w:eastAsia="方正仿宋_GBK" w:cs="Times New Roman"/>
                <w:color w:val="auto"/>
                <w:kern w:val="2"/>
                <w:sz w:val="28"/>
                <w:szCs w:val="28"/>
                <w:highlight w:val="none"/>
              </w:rPr>
              <w:t>等。</w:t>
            </w:r>
          </w:p>
        </w:tc>
        <w:tc>
          <w:tcPr>
            <w:tcW w:w="117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w:t>
            </w:r>
          </w:p>
        </w:tc>
        <w:tc>
          <w:tcPr>
            <w:tcW w:w="306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基本情况录入需完整、准确，评分时录入的信息不齐全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不达标</w:t>
            </w:r>
            <w:r>
              <w:rPr>
                <w:rFonts w:hint="default" w:ascii="Times New Roman" w:hAnsi="Times New Roman" w:eastAsia="方正仿宋_GBK" w:cs="Times New Roman"/>
                <w:color w:val="auto"/>
                <w:sz w:val="28"/>
                <w:szCs w:val="28"/>
                <w:highlight w:val="none"/>
                <w:lang w:eastAsia="zh-CN"/>
              </w:rPr>
              <w:t>、不及时</w:t>
            </w:r>
            <w:r>
              <w:rPr>
                <w:rFonts w:hint="default" w:ascii="Times New Roman" w:hAnsi="Times New Roman" w:eastAsia="方正仿宋_GBK" w:cs="Times New Roman"/>
                <w:color w:val="auto"/>
                <w:sz w:val="28"/>
                <w:szCs w:val="28"/>
                <w:highlight w:val="none"/>
              </w:rPr>
              <w:t>的不得分。</w:t>
            </w:r>
          </w:p>
        </w:tc>
      </w:tr>
      <w:tr>
        <w:tblPrEx>
          <w:tblCellMar>
            <w:top w:w="0" w:type="dxa"/>
            <w:left w:w="108" w:type="dxa"/>
            <w:bottom w:w="0" w:type="dxa"/>
            <w:right w:w="108" w:type="dxa"/>
          </w:tblCellMar>
        </w:tblPrEx>
        <w:trPr>
          <w:trHeight w:val="1900"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w:t>
            </w:r>
          </w:p>
        </w:tc>
        <w:tc>
          <w:tcPr>
            <w:tcW w:w="115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3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企业注册造价工程师名单中至少有2名造价工程师，且2名造价工程师中至少1名为一级。</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center"/>
              <w:rPr>
                <w:rFonts w:hint="default" w:ascii="Times New Roman" w:hAnsi="Times New Roman" w:eastAsia="方正仿宋_GBK" w:cs="Times New Roman"/>
                <w:strike w:val="0"/>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w:t>
            </w:r>
          </w:p>
        </w:tc>
        <w:tc>
          <w:tcPr>
            <w:tcW w:w="3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4150"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w:t>
            </w:r>
          </w:p>
        </w:tc>
        <w:tc>
          <w:tcPr>
            <w:tcW w:w="1154"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3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每增加1名一级造价工程师加0.5分，</w:t>
            </w:r>
          </w:p>
          <w:p>
            <w:pPr>
              <w:widowControl/>
              <w:spacing w:line="40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每增加1名二级造价工程师加0.3分。</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注册造价工程师数量评分项得分上限为5分。</w:t>
            </w:r>
            <w:r>
              <w:rPr>
                <w:rFonts w:hint="default" w:ascii="Times New Roman" w:hAnsi="Times New Roman" w:eastAsia="方正仿宋_GBK" w:cs="Times New Roman"/>
                <w:color w:val="auto"/>
                <w:sz w:val="28"/>
                <w:szCs w:val="28"/>
                <w:highlight w:val="none"/>
                <w:lang w:eastAsia="zh-CN"/>
              </w:rPr>
              <w:t>企业经营过程中出现</w:t>
            </w:r>
            <w:r>
              <w:rPr>
                <w:rFonts w:hint="default" w:ascii="Times New Roman" w:hAnsi="Times New Roman" w:eastAsia="方正仿宋_GBK" w:cs="Times New Roman"/>
                <w:color w:val="auto"/>
                <w:kern w:val="2"/>
                <w:sz w:val="28"/>
                <w:szCs w:val="28"/>
                <w:highlight w:val="none"/>
                <w:lang w:eastAsia="zh-CN"/>
              </w:rPr>
              <w:t>造价工程师数量有变化时，此栏分数也会有相应增减，企业应在数量发生变更后</w:t>
            </w:r>
            <w:r>
              <w:rPr>
                <w:rFonts w:hint="default" w:ascii="Times New Roman" w:hAnsi="Times New Roman" w:eastAsia="方正仿宋_GBK" w:cs="Times New Roman"/>
                <w:color w:val="auto"/>
                <w:kern w:val="2"/>
                <w:sz w:val="28"/>
                <w:szCs w:val="28"/>
                <w:highlight w:val="none"/>
                <w:lang w:val="en-US" w:eastAsia="zh-CN"/>
              </w:rPr>
              <w:t>30日内进行更新，如有</w:t>
            </w:r>
            <w:r>
              <w:rPr>
                <w:rFonts w:hint="default" w:ascii="Times New Roman" w:hAnsi="Times New Roman" w:eastAsia="方正仿宋_GBK" w:cs="Times New Roman"/>
                <w:color w:val="auto"/>
                <w:kern w:val="2"/>
                <w:sz w:val="28"/>
                <w:szCs w:val="28"/>
                <w:highlight w:val="none"/>
              </w:rPr>
              <w:t>瞒报漏报情况，经核实后减</w:t>
            </w:r>
            <w:r>
              <w:rPr>
                <w:rFonts w:hint="default" w:ascii="Times New Roman" w:hAnsi="Times New Roman" w:eastAsia="方正仿宋_GBK" w:cs="Times New Roman"/>
                <w:color w:val="auto"/>
                <w:kern w:val="2"/>
                <w:sz w:val="28"/>
                <w:szCs w:val="28"/>
                <w:highlight w:val="none"/>
                <w:lang w:val="en-US" w:eastAsia="zh-CN"/>
              </w:rPr>
              <w:t>5分</w:t>
            </w:r>
            <w:r>
              <w:rPr>
                <w:rFonts w:hint="default" w:ascii="Times New Roman" w:hAnsi="Times New Roman" w:eastAsia="方正仿宋_GBK" w:cs="Times New Roman"/>
                <w:color w:val="auto"/>
                <w:kern w:val="2"/>
                <w:sz w:val="28"/>
                <w:szCs w:val="28"/>
                <w:highlight w:val="none"/>
              </w:rPr>
              <w:t>。</w:t>
            </w:r>
          </w:p>
        </w:tc>
      </w:tr>
      <w:tr>
        <w:tblPrEx>
          <w:tblCellMar>
            <w:top w:w="0" w:type="dxa"/>
            <w:left w:w="108" w:type="dxa"/>
            <w:bottom w:w="0" w:type="dxa"/>
            <w:right w:w="108" w:type="dxa"/>
          </w:tblCellMar>
        </w:tblPrEx>
        <w:trPr>
          <w:trHeight w:val="2150" w:hRule="atLeast"/>
          <w:jc w:val="center"/>
        </w:trPr>
        <w:tc>
          <w:tcPr>
            <w:tcW w:w="704"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4</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造价咨询业绩信息</w:t>
            </w:r>
          </w:p>
        </w:tc>
        <w:tc>
          <w:tcPr>
            <w:tcW w:w="3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企业完成的工程造价咨询项目信息包括项目名称、项目类别、项目规模、项目负责人、委托单位等。</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10</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要求企业上传2022年1月1日以来完成的全部业绩信息，如有瞒报漏报情况，经核实后减2分/项。</w:t>
            </w:r>
          </w:p>
        </w:tc>
      </w:tr>
    </w:tbl>
    <w:p>
      <w:pPr>
        <w:spacing w:line="240" w:lineRule="auto"/>
        <w:jc w:val="center"/>
        <w:rPr>
          <w:rFonts w:hint="eastAsia" w:ascii="方正小标宋_GBK" w:hAnsi="方正小标宋_GBK" w:eastAsia="方正小标宋_GBK" w:cs="方正小标宋_GBK"/>
          <w:bCs w:val="0"/>
          <w:color w:val="auto"/>
          <w:sz w:val="36"/>
          <w:szCs w:val="36"/>
          <w:highlight w:val="none"/>
        </w:rPr>
      </w:pPr>
      <w:r>
        <w:rPr>
          <w:rFonts w:hint="eastAsia" w:ascii="方正小标宋_GBK" w:hAnsi="方正小标宋_GBK" w:eastAsia="方正小标宋_GBK" w:cs="方正小标宋_GBK"/>
          <w:bCs w:val="0"/>
          <w:color w:val="auto"/>
          <w:sz w:val="36"/>
          <w:szCs w:val="36"/>
          <w:highlight w:val="none"/>
        </w:rPr>
        <w:t>工程造价咨询企业</w:t>
      </w:r>
      <w:r>
        <w:rPr>
          <w:rFonts w:hint="eastAsia" w:ascii="方正小标宋_GBK" w:hAnsi="方正小标宋_GBK" w:eastAsia="方正小标宋_GBK" w:cs="方正小标宋_GBK"/>
          <w:bCs w:val="0"/>
          <w:color w:val="auto"/>
          <w:sz w:val="36"/>
          <w:szCs w:val="36"/>
          <w:highlight w:val="none"/>
          <w:lang w:val="en"/>
        </w:rPr>
        <w:t>诚信评价内容及</w:t>
      </w:r>
      <w:r>
        <w:rPr>
          <w:rFonts w:hint="eastAsia" w:ascii="方正小标宋_GBK" w:hAnsi="方正小标宋_GBK" w:eastAsia="方正小标宋_GBK" w:cs="方正小标宋_GBK"/>
          <w:bCs w:val="0"/>
          <w:color w:val="auto"/>
          <w:sz w:val="36"/>
          <w:szCs w:val="36"/>
          <w:highlight w:val="none"/>
        </w:rPr>
        <w:t>评分标准</w:t>
      </w:r>
    </w:p>
    <w:tbl>
      <w:tblPr>
        <w:tblStyle w:val="5"/>
        <w:tblW w:w="0" w:type="auto"/>
        <w:jc w:val="center"/>
        <w:tblLayout w:type="fixed"/>
        <w:tblCellMar>
          <w:top w:w="0" w:type="dxa"/>
          <w:left w:w="108" w:type="dxa"/>
          <w:bottom w:w="0" w:type="dxa"/>
          <w:right w:w="108" w:type="dxa"/>
        </w:tblCellMar>
      </w:tblPr>
      <w:tblGrid>
        <w:gridCol w:w="704"/>
        <w:gridCol w:w="431"/>
        <w:gridCol w:w="1154"/>
        <w:gridCol w:w="2996"/>
        <w:gridCol w:w="1314"/>
        <w:gridCol w:w="3153"/>
      </w:tblGrid>
      <w:tr>
        <w:tblPrEx>
          <w:tblCellMar>
            <w:top w:w="0" w:type="dxa"/>
            <w:left w:w="108" w:type="dxa"/>
            <w:bottom w:w="0" w:type="dxa"/>
            <w:right w:w="108" w:type="dxa"/>
          </w:tblCellMar>
        </w:tblPrEx>
        <w:trPr>
          <w:trHeight w:val="95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分类</w:t>
            </w:r>
          </w:p>
        </w:tc>
        <w:tc>
          <w:tcPr>
            <w:tcW w:w="431"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序号</w:t>
            </w:r>
          </w:p>
        </w:tc>
        <w:tc>
          <w:tcPr>
            <w:tcW w:w="115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评价</w:t>
            </w:r>
          </w:p>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内容</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评分标准</w:t>
            </w:r>
          </w:p>
        </w:tc>
        <w:tc>
          <w:tcPr>
            <w:tcW w:w="1314"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得分值</w:t>
            </w:r>
          </w:p>
        </w:tc>
        <w:tc>
          <w:tcPr>
            <w:tcW w:w="315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评分说明</w:t>
            </w:r>
          </w:p>
        </w:tc>
      </w:tr>
      <w:tr>
        <w:tblPrEx>
          <w:tblCellMar>
            <w:top w:w="0" w:type="dxa"/>
            <w:left w:w="108" w:type="dxa"/>
            <w:bottom w:w="0" w:type="dxa"/>
            <w:right w:w="108" w:type="dxa"/>
          </w:tblCellMar>
        </w:tblPrEx>
        <w:trPr>
          <w:trHeight w:val="2445" w:hRule="atLeast"/>
          <w:jc w:val="center"/>
        </w:trPr>
        <w:tc>
          <w:tcPr>
            <w:tcW w:w="704"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b/>
                <w:bCs/>
                <w:color w:val="auto"/>
                <w:kern w:val="2"/>
                <w:sz w:val="28"/>
                <w:szCs w:val="28"/>
                <w:highlight w:val="none"/>
              </w:rPr>
              <w:t>企业良好信息</w:t>
            </w:r>
          </w:p>
        </w:tc>
        <w:tc>
          <w:tcPr>
            <w:tcW w:w="4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表扬</w:t>
            </w:r>
          </w:p>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表彰</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在工程造价咨询活动中，获得县级以上人民政府或住房城乡建设主管部门的通报表扬或表彰。</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20</w:t>
            </w:r>
          </w:p>
        </w:tc>
        <w:tc>
          <w:tcPr>
            <w:tcW w:w="315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获县级2分/项，获市级（含地级市）5分/项，获自治区级8分/项，获国家级10分/项。</w:t>
            </w:r>
          </w:p>
        </w:tc>
      </w:tr>
      <w:tr>
        <w:tblPrEx>
          <w:tblCellMar>
            <w:top w:w="0" w:type="dxa"/>
            <w:left w:w="108" w:type="dxa"/>
            <w:bottom w:w="0" w:type="dxa"/>
            <w:right w:w="108" w:type="dxa"/>
          </w:tblCellMar>
        </w:tblPrEx>
        <w:trPr>
          <w:trHeight w:val="5065" w:hRule="atLeast"/>
          <w:jc w:val="center"/>
        </w:trPr>
        <w:tc>
          <w:tcPr>
            <w:tcW w:w="704"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获奖</w:t>
            </w:r>
          </w:p>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情况</w:t>
            </w:r>
          </w:p>
        </w:tc>
        <w:tc>
          <w:tcPr>
            <w:tcW w:w="299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在工程造价咨询活动中，获得设区市级以上建设工程造价行业协会的奖项</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包含优秀论文奖、优秀</w:t>
            </w:r>
            <w:r>
              <w:rPr>
                <w:rFonts w:hint="default" w:ascii="Times New Roman" w:hAnsi="Times New Roman" w:eastAsia="方正仿宋_GBK" w:cs="Times New Roman"/>
                <w:color w:val="auto"/>
                <w:kern w:val="2"/>
                <w:sz w:val="28"/>
                <w:szCs w:val="28"/>
                <w:highlight w:val="none"/>
                <w:lang w:eastAsia="zh-CN"/>
              </w:rPr>
              <w:t>工程造价成果等级评定（优秀工程造价成果奖）</w:t>
            </w:r>
            <w:r>
              <w:rPr>
                <w:rFonts w:hint="default" w:ascii="Times New Roman" w:hAnsi="Times New Roman" w:eastAsia="方正仿宋_GBK" w:cs="Times New Roman"/>
                <w:color w:val="auto"/>
                <w:kern w:val="2"/>
                <w:sz w:val="28"/>
                <w:szCs w:val="28"/>
                <w:highlight w:val="none"/>
              </w:rPr>
              <w:t>、造价业务技能竞赛等。</w:t>
            </w:r>
          </w:p>
        </w:tc>
        <w:tc>
          <w:tcPr>
            <w:tcW w:w="131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10</w:t>
            </w:r>
          </w:p>
        </w:tc>
        <w:tc>
          <w:tcPr>
            <w:tcW w:w="315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0" w:firstLineChars="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①获市级奖项：</w:t>
            </w:r>
          </w:p>
          <w:p>
            <w:pPr>
              <w:widowControl/>
              <w:spacing w:line="400" w:lineRule="exact"/>
              <w:ind w:firstLine="0" w:firstLineChars="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一等奖3分/项，二等奖2分/项，三等奖1分/项。</w:t>
            </w:r>
          </w:p>
          <w:p>
            <w:pPr>
              <w:widowControl/>
              <w:spacing w:line="400" w:lineRule="exact"/>
              <w:ind w:firstLine="0" w:firstLineChars="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②获自治区级奖项：</w:t>
            </w:r>
          </w:p>
          <w:p>
            <w:pPr>
              <w:widowControl/>
              <w:spacing w:line="400" w:lineRule="exact"/>
              <w:ind w:firstLine="0" w:firstLineChars="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一等奖5分/项，二等奖4分/项，三等奖3分/项。</w:t>
            </w:r>
          </w:p>
          <w:p>
            <w:pPr>
              <w:widowControl/>
              <w:spacing w:line="400" w:lineRule="exact"/>
              <w:ind w:firstLine="0" w:firstLineChars="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③获国家级奖项：</w:t>
            </w:r>
          </w:p>
          <w:p>
            <w:pPr>
              <w:widowControl/>
              <w:spacing w:line="400" w:lineRule="exact"/>
              <w:ind w:firstLine="0" w:firstLineChars="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一等奖7分/项，二等奖6分/项，三等奖5分/项。</w:t>
            </w:r>
          </w:p>
        </w:tc>
      </w:tr>
    </w:tbl>
    <w:p>
      <w:pPr>
        <w:jc w:val="both"/>
        <w:rPr>
          <w:rFonts w:hint="default" w:ascii="Times New Roman" w:hAnsi="Times New Roman" w:eastAsia="方正仿宋_GBK" w:cs="Times New Roman"/>
          <w:bCs w:val="0"/>
          <w:color w:val="auto"/>
          <w:sz w:val="30"/>
          <w:szCs w:val="30"/>
          <w:highlight w:val="none"/>
        </w:rPr>
        <w:sectPr>
          <w:footerReference r:id="rId3" w:type="default"/>
          <w:pgSz w:w="11906" w:h="16838"/>
          <w:pgMar w:top="1928" w:right="1418" w:bottom="1928" w:left="1418" w:header="851" w:footer="1531" w:gutter="0"/>
          <w:pgNumType w:fmt="decimal"/>
          <w:cols w:space="720" w:num="1"/>
          <w:rtlGutter w:val="0"/>
          <w:docGrid w:type="lines" w:linePitch="408" w:charSpace="0"/>
        </w:sectPr>
      </w:pPr>
    </w:p>
    <w:p>
      <w:pPr>
        <w:jc w:val="center"/>
        <w:rPr>
          <w:rFonts w:hint="eastAsia" w:ascii="方正小标宋_GBK" w:hAnsi="方正小标宋_GBK" w:eastAsia="方正小标宋_GBK" w:cs="方正小标宋_GBK"/>
          <w:bCs w:val="0"/>
          <w:color w:val="auto"/>
          <w:sz w:val="36"/>
          <w:szCs w:val="36"/>
          <w:highlight w:val="none"/>
        </w:rPr>
      </w:pPr>
      <w:r>
        <w:rPr>
          <w:rFonts w:hint="eastAsia" w:ascii="方正小标宋_GBK" w:hAnsi="方正小标宋_GBK" w:eastAsia="方正小标宋_GBK" w:cs="方正小标宋_GBK"/>
          <w:bCs w:val="0"/>
          <w:color w:val="auto"/>
          <w:sz w:val="36"/>
          <w:szCs w:val="36"/>
          <w:highlight w:val="none"/>
        </w:rPr>
        <w:t>工程造价咨询企业</w:t>
      </w:r>
      <w:r>
        <w:rPr>
          <w:rFonts w:hint="eastAsia" w:ascii="方正小标宋_GBK" w:hAnsi="方正小标宋_GBK" w:eastAsia="方正小标宋_GBK" w:cs="方正小标宋_GBK"/>
          <w:bCs w:val="0"/>
          <w:color w:val="auto"/>
          <w:sz w:val="36"/>
          <w:szCs w:val="36"/>
          <w:highlight w:val="none"/>
          <w:lang w:val="en"/>
        </w:rPr>
        <w:t>诚信评价内容及</w:t>
      </w:r>
      <w:r>
        <w:rPr>
          <w:rFonts w:hint="eastAsia" w:ascii="方正小标宋_GBK" w:hAnsi="方正小标宋_GBK" w:eastAsia="方正小标宋_GBK" w:cs="方正小标宋_GBK"/>
          <w:bCs w:val="0"/>
          <w:color w:val="auto"/>
          <w:sz w:val="36"/>
          <w:szCs w:val="36"/>
          <w:highlight w:val="none"/>
        </w:rPr>
        <w:t>评分标准</w:t>
      </w:r>
    </w:p>
    <w:tbl>
      <w:tblPr>
        <w:tblStyle w:val="5"/>
        <w:tblW w:w="0" w:type="auto"/>
        <w:jc w:val="center"/>
        <w:tblLayout w:type="fixed"/>
        <w:tblCellMar>
          <w:top w:w="0" w:type="dxa"/>
          <w:left w:w="108" w:type="dxa"/>
          <w:bottom w:w="0" w:type="dxa"/>
          <w:right w:w="108" w:type="dxa"/>
        </w:tblCellMar>
      </w:tblPr>
      <w:tblGrid>
        <w:gridCol w:w="704"/>
        <w:gridCol w:w="594"/>
        <w:gridCol w:w="1140"/>
        <w:gridCol w:w="5397"/>
        <w:gridCol w:w="1315"/>
      </w:tblGrid>
      <w:tr>
        <w:tblPrEx>
          <w:tblCellMar>
            <w:top w:w="0" w:type="dxa"/>
            <w:left w:w="108" w:type="dxa"/>
            <w:bottom w:w="0" w:type="dxa"/>
            <w:right w:w="108" w:type="dxa"/>
          </w:tblCellMar>
        </w:tblPrEx>
        <w:trPr>
          <w:trHeight w:val="83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分类</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序号</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评价</w:t>
            </w:r>
          </w:p>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内容</w:t>
            </w:r>
          </w:p>
        </w:tc>
        <w:tc>
          <w:tcPr>
            <w:tcW w:w="53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评分标准</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减分</w:t>
            </w:r>
          </w:p>
          <w:p>
            <w:pPr>
              <w:widowControl/>
              <w:spacing w:line="36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标准</w:t>
            </w:r>
          </w:p>
        </w:tc>
      </w:tr>
      <w:tr>
        <w:tblPrEx>
          <w:tblCellMar>
            <w:top w:w="0" w:type="dxa"/>
            <w:left w:w="108" w:type="dxa"/>
            <w:bottom w:w="0" w:type="dxa"/>
            <w:right w:w="108" w:type="dxa"/>
          </w:tblCellMar>
        </w:tblPrEx>
        <w:trPr>
          <w:trHeight w:val="567" w:hRule="atLeast"/>
          <w:jc w:val="center"/>
        </w:trPr>
        <w:tc>
          <w:tcPr>
            <w:tcW w:w="704"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r>
              <w:rPr>
                <w:rFonts w:hint="default" w:ascii="Times New Roman" w:hAnsi="Times New Roman" w:eastAsia="方正仿宋_GBK" w:cs="Times New Roman"/>
                <w:b/>
                <w:bCs/>
                <w:color w:val="auto"/>
                <w:kern w:val="2"/>
                <w:sz w:val="28"/>
                <w:szCs w:val="28"/>
                <w:highlight w:val="none"/>
              </w:rPr>
              <w:t>企业不良信息</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p>
        </w:tc>
        <w:tc>
          <w:tcPr>
            <w:tcW w:w="114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市场</w:t>
            </w:r>
          </w:p>
          <w:p>
            <w:pPr>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行为</w:t>
            </w: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允许其他企业借用本企业名义从事造价咨询活动。</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30分/次</w:t>
            </w:r>
          </w:p>
        </w:tc>
      </w:tr>
      <w:tr>
        <w:tblPrEx>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转包或承接他人转包的工程造价咨询业务。</w:t>
            </w: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965"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企业提供虚假材料或不配合县级以上住房城乡建设主管部门依法实施的监督检查。</w:t>
            </w: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845"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4</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企业在从事工程造价咨询活动中被追究刑事责任。</w:t>
            </w: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950"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5</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以弄虚作假手段协助他人在本企业申请造价工程师注册。</w:t>
            </w:r>
          </w:p>
        </w:tc>
        <w:tc>
          <w:tcPr>
            <w:tcW w:w="13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w:t>
            </w:r>
            <w:r>
              <w:rPr>
                <w:rFonts w:hint="default" w:ascii="Times New Roman" w:hAnsi="Times New Roman" w:eastAsia="方正仿宋_GBK" w:cs="Times New Roman"/>
                <w:color w:val="auto"/>
                <w:kern w:val="2"/>
                <w:sz w:val="28"/>
                <w:szCs w:val="28"/>
                <w:highlight w:val="none"/>
                <w:lang w:val="en-US" w:eastAsia="zh-CN"/>
              </w:rPr>
              <w:t>5</w:t>
            </w:r>
            <w:r>
              <w:rPr>
                <w:rFonts w:hint="default" w:ascii="Times New Roman" w:hAnsi="Times New Roman" w:eastAsia="方正仿宋_GBK" w:cs="Times New Roman"/>
                <w:color w:val="auto"/>
                <w:kern w:val="2"/>
                <w:sz w:val="28"/>
                <w:szCs w:val="28"/>
                <w:highlight w:val="none"/>
              </w:rPr>
              <w:t>分/次</w:t>
            </w:r>
          </w:p>
        </w:tc>
      </w:tr>
      <w:tr>
        <w:tblPrEx>
          <w:tblCellMar>
            <w:top w:w="0" w:type="dxa"/>
            <w:left w:w="108" w:type="dxa"/>
            <w:bottom w:w="0" w:type="dxa"/>
            <w:right w:w="108" w:type="dxa"/>
          </w:tblCellMar>
        </w:tblPrEx>
        <w:trPr>
          <w:trHeight w:val="567"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6</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以给予回扣、恶意压低收费等方式进行不正当竞争。</w:t>
            </w: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1180"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7</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同时接受发包人和承包人、招标人和投标人、两个以上投标人对同一工程项目的工程造价咨询业务。</w:t>
            </w: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850"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8</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承接被审核、被评审、被审计单位与本企业有利害关系的工程造价咨询业务。</w:t>
            </w:r>
          </w:p>
        </w:tc>
        <w:tc>
          <w:tcPr>
            <w:tcW w:w="13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r>
      <w:tr>
        <w:tblPrEx>
          <w:tblCellMar>
            <w:top w:w="0" w:type="dxa"/>
            <w:left w:w="108" w:type="dxa"/>
            <w:bottom w:w="0" w:type="dxa"/>
            <w:right w:w="108" w:type="dxa"/>
          </w:tblCellMar>
        </w:tblPrEx>
        <w:trPr>
          <w:trHeight w:val="712"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9</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未按规定上报行业咨询统计报表。</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5分/次</w:t>
            </w:r>
          </w:p>
        </w:tc>
      </w:tr>
      <w:tr>
        <w:tblPrEx>
          <w:tblCellMar>
            <w:top w:w="0" w:type="dxa"/>
            <w:left w:w="108" w:type="dxa"/>
            <w:bottom w:w="0" w:type="dxa"/>
            <w:right w:w="108" w:type="dxa"/>
          </w:tblCellMar>
        </w:tblPrEx>
        <w:trPr>
          <w:trHeight w:val="935"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0</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除上述所列，受到住房城乡建设部行政处罚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或被认定的其他不良行为。</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30分/次</w:t>
            </w:r>
          </w:p>
        </w:tc>
      </w:tr>
      <w:tr>
        <w:tblPrEx>
          <w:tblCellMar>
            <w:top w:w="0" w:type="dxa"/>
            <w:left w:w="108" w:type="dxa"/>
            <w:bottom w:w="0" w:type="dxa"/>
            <w:right w:w="108" w:type="dxa"/>
          </w:tblCellMar>
        </w:tblPrEx>
        <w:trPr>
          <w:trHeight w:val="850" w:hRule="atLeast"/>
          <w:jc w:val="center"/>
        </w:trPr>
        <w:tc>
          <w:tcPr>
            <w:tcW w:w="704"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1</w:t>
            </w:r>
          </w:p>
        </w:tc>
        <w:tc>
          <w:tcPr>
            <w:tcW w:w="11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除上述所列，受到</w:t>
            </w:r>
            <w:r>
              <w:rPr>
                <w:rFonts w:hint="default" w:ascii="Times New Roman" w:hAnsi="Times New Roman" w:eastAsia="方正仿宋_GBK" w:cs="Times New Roman"/>
                <w:color w:val="auto"/>
                <w:sz w:val="28"/>
                <w:szCs w:val="28"/>
                <w:highlight w:val="none"/>
                <w:lang w:eastAsia="zh-CN"/>
              </w:rPr>
              <w:t>省级</w:t>
            </w:r>
            <w:r>
              <w:rPr>
                <w:rFonts w:hint="default" w:ascii="Times New Roman" w:hAnsi="Times New Roman" w:eastAsia="方正仿宋_GBK" w:cs="Times New Roman"/>
                <w:color w:val="auto"/>
                <w:sz w:val="28"/>
                <w:szCs w:val="28"/>
                <w:highlight w:val="none"/>
              </w:rPr>
              <w:t>住房城乡建设</w:t>
            </w:r>
            <w:r>
              <w:rPr>
                <w:rFonts w:hint="default" w:ascii="Times New Roman" w:hAnsi="Times New Roman" w:eastAsia="方正仿宋_GBK" w:cs="Times New Roman"/>
                <w:color w:val="auto"/>
                <w:sz w:val="28"/>
                <w:szCs w:val="28"/>
                <w:highlight w:val="none"/>
                <w:lang w:eastAsia="zh-CN"/>
              </w:rPr>
              <w:t>主管部门</w:t>
            </w:r>
            <w:r>
              <w:rPr>
                <w:rFonts w:hint="default" w:ascii="Times New Roman" w:hAnsi="Times New Roman" w:eastAsia="方正仿宋_GBK" w:cs="Times New Roman"/>
                <w:color w:val="auto"/>
                <w:sz w:val="28"/>
                <w:szCs w:val="28"/>
                <w:highlight w:val="none"/>
              </w:rPr>
              <w:t>行政处罚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或被认定的其他不良行为。</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25分/次</w:t>
            </w:r>
          </w:p>
        </w:tc>
      </w:tr>
      <w:tr>
        <w:tblPrEx>
          <w:tblCellMar>
            <w:top w:w="0" w:type="dxa"/>
            <w:left w:w="108" w:type="dxa"/>
            <w:bottom w:w="0" w:type="dxa"/>
            <w:right w:w="108" w:type="dxa"/>
          </w:tblCellMar>
        </w:tblPrEx>
        <w:trPr>
          <w:trHeight w:val="1341" w:hRule="atLeast"/>
          <w:jc w:val="center"/>
        </w:trPr>
        <w:tc>
          <w:tcPr>
            <w:tcW w:w="704"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2</w:t>
            </w:r>
          </w:p>
        </w:tc>
        <w:tc>
          <w:tcPr>
            <w:tcW w:w="114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除上述所列，受到市（县）住房城乡建设主管部门或城市管理综合执法部门行政处罚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或被认定的其他不良行为。</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20分/次</w:t>
            </w:r>
          </w:p>
        </w:tc>
      </w:tr>
    </w:tbl>
    <w:p>
      <w:pPr>
        <w:jc w:val="center"/>
        <w:rPr>
          <w:rFonts w:hint="eastAsia" w:ascii="方正小标宋_GBK" w:hAnsi="方正小标宋_GBK" w:eastAsia="方正小标宋_GBK" w:cs="方正小标宋_GBK"/>
          <w:bCs w:val="0"/>
          <w:color w:val="auto"/>
          <w:sz w:val="36"/>
          <w:szCs w:val="36"/>
          <w:highlight w:val="none"/>
        </w:rPr>
      </w:pPr>
      <w:r>
        <w:rPr>
          <w:rFonts w:hint="eastAsia" w:ascii="方正小标宋_GBK" w:hAnsi="方正小标宋_GBK" w:eastAsia="方正小标宋_GBK" w:cs="方正小标宋_GBK"/>
          <w:bCs w:val="0"/>
          <w:color w:val="auto"/>
          <w:sz w:val="36"/>
          <w:szCs w:val="36"/>
          <w:highlight w:val="none"/>
        </w:rPr>
        <w:t>工程造价咨询企业</w:t>
      </w:r>
      <w:r>
        <w:rPr>
          <w:rFonts w:hint="eastAsia" w:ascii="方正小标宋_GBK" w:hAnsi="方正小标宋_GBK" w:eastAsia="方正小标宋_GBK" w:cs="方正小标宋_GBK"/>
          <w:bCs w:val="0"/>
          <w:color w:val="auto"/>
          <w:sz w:val="36"/>
          <w:szCs w:val="36"/>
          <w:highlight w:val="none"/>
          <w:lang w:val="en"/>
        </w:rPr>
        <w:t>诚信评价内容及</w:t>
      </w:r>
      <w:r>
        <w:rPr>
          <w:rFonts w:hint="eastAsia" w:ascii="方正小标宋_GBK" w:hAnsi="方正小标宋_GBK" w:eastAsia="方正小标宋_GBK" w:cs="方正小标宋_GBK"/>
          <w:bCs w:val="0"/>
          <w:color w:val="auto"/>
          <w:sz w:val="36"/>
          <w:szCs w:val="36"/>
          <w:highlight w:val="none"/>
        </w:rPr>
        <w:t>评分标准</w:t>
      </w:r>
    </w:p>
    <w:tbl>
      <w:tblPr>
        <w:tblStyle w:val="5"/>
        <w:tblW w:w="0" w:type="auto"/>
        <w:tblInd w:w="91" w:type="dxa"/>
        <w:tblLayout w:type="fixed"/>
        <w:tblCellMar>
          <w:top w:w="0" w:type="dxa"/>
          <w:left w:w="108" w:type="dxa"/>
          <w:bottom w:w="0" w:type="dxa"/>
          <w:right w:w="108" w:type="dxa"/>
        </w:tblCellMar>
      </w:tblPr>
      <w:tblGrid>
        <w:gridCol w:w="704"/>
        <w:gridCol w:w="594"/>
        <w:gridCol w:w="1067"/>
        <w:gridCol w:w="3720"/>
        <w:gridCol w:w="3015"/>
      </w:tblGrid>
      <w:tr>
        <w:tblPrEx>
          <w:tblCellMar>
            <w:top w:w="0" w:type="dxa"/>
            <w:left w:w="108" w:type="dxa"/>
            <w:bottom w:w="0" w:type="dxa"/>
            <w:right w:w="108" w:type="dxa"/>
          </w:tblCellMar>
        </w:tblPrEx>
        <w:trPr>
          <w:trHeight w:val="839"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bCs w:val="0"/>
                <w:color w:val="auto"/>
                <w:kern w:val="2"/>
                <w:sz w:val="28"/>
                <w:szCs w:val="28"/>
                <w:highlight w:val="none"/>
              </w:rPr>
            </w:pPr>
            <w:r>
              <w:rPr>
                <w:rFonts w:hint="eastAsia" w:ascii="方正黑体_GBK" w:hAnsi="方正黑体_GBK" w:eastAsia="方正黑体_GBK" w:cs="方正黑体_GBK"/>
                <w:b w:val="0"/>
                <w:bCs w:val="0"/>
                <w:color w:val="auto"/>
                <w:kern w:val="2"/>
                <w:sz w:val="28"/>
                <w:szCs w:val="28"/>
                <w:highlight w:val="none"/>
              </w:rPr>
              <w:t>分类</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序号</w:t>
            </w: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评价</w:t>
            </w:r>
          </w:p>
          <w:p>
            <w:pPr>
              <w:widowControl/>
              <w:spacing w:line="38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内容</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评分标准</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方正黑体_GBK" w:hAnsi="方正黑体_GBK" w:eastAsia="方正黑体_GBK" w:cs="方正黑体_GBK"/>
                <w:b w:val="0"/>
                <w:color w:val="auto"/>
                <w:kern w:val="2"/>
                <w:sz w:val="28"/>
                <w:szCs w:val="28"/>
                <w:highlight w:val="none"/>
              </w:rPr>
            </w:pPr>
            <w:r>
              <w:rPr>
                <w:rFonts w:hint="eastAsia" w:ascii="方正黑体_GBK" w:hAnsi="方正黑体_GBK" w:eastAsia="方正黑体_GBK" w:cs="方正黑体_GBK"/>
                <w:b w:val="0"/>
                <w:color w:val="auto"/>
                <w:kern w:val="2"/>
                <w:sz w:val="28"/>
                <w:szCs w:val="28"/>
                <w:highlight w:val="none"/>
              </w:rPr>
              <w:t>减分标准</w:t>
            </w:r>
          </w:p>
        </w:tc>
      </w:tr>
      <w:tr>
        <w:tblPrEx>
          <w:tblCellMar>
            <w:top w:w="0" w:type="dxa"/>
            <w:left w:w="108" w:type="dxa"/>
            <w:bottom w:w="0" w:type="dxa"/>
            <w:right w:w="108" w:type="dxa"/>
          </w:tblCellMar>
        </w:tblPrEx>
        <w:trPr>
          <w:trHeight w:val="1417" w:hRule="atLeast"/>
        </w:trPr>
        <w:tc>
          <w:tcPr>
            <w:tcW w:w="704" w:type="dxa"/>
            <w:vMerge w:val="restart"/>
            <w:tcBorders>
              <w:top w:val="single" w:color="auto" w:sz="4" w:space="0"/>
              <w:left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color w:val="auto"/>
                <w:kern w:val="2"/>
                <w:sz w:val="28"/>
                <w:szCs w:val="28"/>
                <w:highlight w:val="none"/>
              </w:rPr>
            </w:pPr>
            <w:r>
              <w:rPr>
                <w:rFonts w:hint="default" w:ascii="Times New Roman" w:hAnsi="Times New Roman" w:eastAsia="方正仿宋_GBK" w:cs="Times New Roman"/>
                <w:b/>
                <w:bCs/>
                <w:color w:val="auto"/>
                <w:kern w:val="2"/>
                <w:sz w:val="28"/>
                <w:szCs w:val="28"/>
                <w:highlight w:val="none"/>
              </w:rPr>
              <w:t>企业不良信息</w:t>
            </w: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3</w:t>
            </w: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成果文件质量控制</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eastAsia" w:ascii="Times New Roman" w:hAnsi="Times New Roman" w:eastAsia="方正仿宋_GBK" w:cs="Times New Roman"/>
                <w:color w:val="auto"/>
                <w:kern w:val="2"/>
                <w:sz w:val="28"/>
                <w:szCs w:val="28"/>
                <w:highlight w:val="none"/>
                <w:lang w:val="en-US" w:eastAsia="zh-CN"/>
              </w:rPr>
            </w:pPr>
            <w:r>
              <w:rPr>
                <w:rFonts w:hint="default" w:ascii="Times New Roman" w:hAnsi="Times New Roman" w:eastAsia="方正仿宋_GBK" w:cs="Times New Roman"/>
                <w:color w:val="auto"/>
                <w:kern w:val="2"/>
                <w:sz w:val="28"/>
                <w:szCs w:val="28"/>
                <w:highlight w:val="none"/>
              </w:rPr>
              <w:t>相同口径下，项目建议书阶段建设项目投资估算的综合误差率超过15%</w:t>
            </w:r>
            <w:r>
              <w:rPr>
                <w:rFonts w:hint="eastAsia" w:ascii="Times New Roman" w:hAnsi="Times New Roman" w:eastAsia="方正仿宋_GBK" w:cs="Times New Roman"/>
                <w:color w:val="auto"/>
                <w:kern w:val="2"/>
                <w:sz w:val="28"/>
                <w:szCs w:val="28"/>
                <w:highlight w:val="none"/>
                <w:lang w:eastAsia="zh-CN"/>
              </w:rPr>
              <w:t>。</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综合</w:t>
            </w:r>
            <w:r>
              <w:rPr>
                <w:rFonts w:hint="default" w:ascii="Times New Roman" w:hAnsi="Times New Roman" w:eastAsia="方正仿宋_GBK" w:cs="Times New Roman"/>
                <w:color w:val="auto"/>
                <w:kern w:val="2"/>
                <w:sz w:val="28"/>
                <w:szCs w:val="28"/>
                <w:highlight w:val="none"/>
              </w:rPr>
              <w:t>误差率A：</w:t>
            </w:r>
          </w:p>
          <w:p>
            <w:pPr>
              <w:widowControl/>
              <w:spacing w:line="380" w:lineRule="exact"/>
              <w:jc w:val="both"/>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①</w:t>
            </w:r>
            <w:r>
              <w:rPr>
                <w:rFonts w:hint="default" w:ascii="Times New Roman" w:hAnsi="Times New Roman" w:eastAsia="方正仿宋_GBK" w:cs="Times New Roman"/>
                <w:color w:val="auto"/>
                <w:kern w:val="2"/>
                <w:sz w:val="28"/>
                <w:szCs w:val="28"/>
                <w:highlight w:val="none"/>
              </w:rPr>
              <w:t>15%≤A&lt;20%减</w:t>
            </w:r>
            <w:r>
              <w:rPr>
                <w:rFonts w:hint="default" w:ascii="Times New Roman" w:hAnsi="Times New Roman" w:eastAsia="方正仿宋_GBK" w:cs="Times New Roman"/>
                <w:color w:val="auto"/>
                <w:kern w:val="2"/>
                <w:sz w:val="28"/>
                <w:szCs w:val="28"/>
                <w:highlight w:val="none"/>
                <w:lang w:val="en-US" w:eastAsia="zh-CN"/>
              </w:rPr>
              <w:t>3</w:t>
            </w:r>
            <w:r>
              <w:rPr>
                <w:rFonts w:hint="default" w:ascii="Times New Roman" w:hAnsi="Times New Roman" w:eastAsia="方正仿宋_GBK" w:cs="Times New Roman"/>
                <w:color w:val="auto"/>
                <w:kern w:val="2"/>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②20%</w:t>
            </w:r>
            <w:r>
              <w:rPr>
                <w:rFonts w:hint="default" w:ascii="Times New Roman" w:hAnsi="Times New Roman" w:eastAsia="方正仿宋_GBK" w:cs="Times New Roman"/>
                <w:color w:val="auto"/>
                <w:kern w:val="2"/>
                <w:sz w:val="28"/>
                <w:szCs w:val="28"/>
                <w:highlight w:val="none"/>
              </w:rPr>
              <w:t>≤A&lt;</w:t>
            </w:r>
            <w:r>
              <w:rPr>
                <w:rFonts w:hint="default" w:ascii="Times New Roman" w:hAnsi="Times New Roman" w:eastAsia="方正仿宋_GBK" w:cs="Times New Roman"/>
                <w:color w:val="auto"/>
                <w:sz w:val="28"/>
                <w:szCs w:val="28"/>
                <w:highlight w:val="none"/>
              </w:rPr>
              <w:t>25%减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w:t>
            </w:r>
            <w:r>
              <w:rPr>
                <w:rFonts w:hint="default" w:ascii="Times New Roman" w:hAnsi="Times New Roman" w:eastAsia="方正仿宋_GBK" w:cs="Times New Roman"/>
                <w:color w:val="auto"/>
                <w:kern w:val="2"/>
                <w:sz w:val="28"/>
                <w:szCs w:val="28"/>
                <w:highlight w:val="none"/>
              </w:rPr>
              <w:t>A≥</w:t>
            </w:r>
            <w:r>
              <w:rPr>
                <w:rFonts w:hint="default" w:ascii="Times New Roman" w:hAnsi="Times New Roman" w:eastAsia="方正仿宋_GBK" w:cs="Times New Roman"/>
                <w:color w:val="auto"/>
                <w:sz w:val="28"/>
                <w:szCs w:val="28"/>
                <w:highlight w:val="none"/>
              </w:rPr>
              <w:t>25%减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417" w:hRule="atLeast"/>
        </w:trPr>
        <w:tc>
          <w:tcPr>
            <w:tcW w:w="704" w:type="dxa"/>
            <w:vMerge w:val="continue"/>
            <w:tcBorders>
              <w:left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4</w:t>
            </w: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kern w:val="2"/>
                <w:sz w:val="28"/>
                <w:szCs w:val="28"/>
                <w:highlight w:val="none"/>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相同口径下，可行性研究阶段建设项目投资估算的综合误差率超过10%</w:t>
            </w:r>
            <w:r>
              <w:rPr>
                <w:rFonts w:hint="eastAsia" w:ascii="Times New Roman" w:hAnsi="Times New Roman" w:eastAsia="方正仿宋_GBK" w:cs="Times New Roman"/>
                <w:color w:val="auto"/>
                <w:kern w:val="2"/>
                <w:sz w:val="28"/>
                <w:szCs w:val="28"/>
                <w:highlight w:val="none"/>
                <w:lang w:eastAsia="zh-CN"/>
              </w:rPr>
              <w:t>。</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①10%</w:t>
            </w:r>
            <w:r>
              <w:rPr>
                <w:rFonts w:hint="default" w:ascii="Times New Roman" w:hAnsi="Times New Roman" w:eastAsia="方正仿宋_GBK" w:cs="Times New Roman"/>
                <w:color w:val="auto"/>
                <w:kern w:val="2"/>
                <w:sz w:val="28"/>
                <w:szCs w:val="28"/>
                <w:highlight w:val="none"/>
              </w:rPr>
              <w:t>≤</w:t>
            </w:r>
            <w:r>
              <w:rPr>
                <w:rFonts w:hint="default" w:ascii="Times New Roman" w:hAnsi="Times New Roman" w:eastAsia="方正仿宋_GBK" w:cs="Times New Roman"/>
                <w:color w:val="auto"/>
                <w:sz w:val="28"/>
                <w:szCs w:val="28"/>
                <w:highlight w:val="none"/>
              </w:rPr>
              <w:t>A&lt;15%减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②15%</w:t>
            </w:r>
            <w:r>
              <w:rPr>
                <w:rFonts w:hint="default" w:ascii="Times New Roman" w:hAnsi="Times New Roman" w:eastAsia="方正仿宋_GBK" w:cs="Times New Roman"/>
                <w:color w:val="auto"/>
                <w:kern w:val="2"/>
                <w:sz w:val="28"/>
                <w:szCs w:val="28"/>
                <w:highlight w:val="none"/>
              </w:rPr>
              <w:t>≤</w:t>
            </w:r>
            <w:r>
              <w:rPr>
                <w:rFonts w:hint="default" w:ascii="Times New Roman" w:hAnsi="Times New Roman" w:eastAsia="方正仿宋_GBK" w:cs="Times New Roman"/>
                <w:color w:val="auto"/>
                <w:sz w:val="28"/>
                <w:szCs w:val="28"/>
                <w:highlight w:val="none"/>
              </w:rPr>
              <w:t>A&lt;20%减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w:t>
            </w:r>
            <w:r>
              <w:rPr>
                <w:rFonts w:hint="default" w:ascii="Times New Roman" w:hAnsi="Times New Roman" w:eastAsia="方正仿宋_GBK" w:cs="Times New Roman"/>
                <w:color w:val="auto"/>
                <w:kern w:val="2"/>
                <w:sz w:val="28"/>
                <w:szCs w:val="28"/>
                <w:highlight w:val="none"/>
              </w:rPr>
              <w:t>≥</w:t>
            </w:r>
            <w:r>
              <w:rPr>
                <w:rFonts w:hint="default" w:ascii="Times New Roman" w:hAnsi="Times New Roman" w:eastAsia="方正仿宋_GBK" w:cs="Times New Roman"/>
                <w:color w:val="auto"/>
                <w:sz w:val="28"/>
                <w:szCs w:val="28"/>
                <w:highlight w:val="none"/>
              </w:rPr>
              <w:t>20%减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417" w:hRule="atLeast"/>
        </w:trPr>
        <w:tc>
          <w:tcPr>
            <w:tcW w:w="704" w:type="dxa"/>
            <w:vMerge w:val="continue"/>
            <w:tcBorders>
              <w:left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5</w:t>
            </w: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kern w:val="2"/>
                <w:sz w:val="28"/>
                <w:szCs w:val="28"/>
                <w:highlight w:val="none"/>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相同口径下，建设项目的初步设计阶段设计概算的综合误差率超过6%</w:t>
            </w:r>
            <w:r>
              <w:rPr>
                <w:rFonts w:hint="eastAsia" w:ascii="Times New Roman" w:hAnsi="Times New Roman" w:eastAsia="方正仿宋_GBK" w:cs="Times New Roman"/>
                <w:color w:val="auto"/>
                <w:kern w:val="2"/>
                <w:sz w:val="28"/>
                <w:szCs w:val="28"/>
                <w:highlight w:val="none"/>
                <w:lang w:eastAsia="zh-CN"/>
              </w:rPr>
              <w:t>。</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①6%≤A&lt;10%减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②10%≤A&lt;15%减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417" w:hRule="atLeast"/>
        </w:trPr>
        <w:tc>
          <w:tcPr>
            <w:tcW w:w="704" w:type="dxa"/>
            <w:vMerge w:val="continue"/>
            <w:tcBorders>
              <w:left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default" w:ascii="Times New Roman" w:hAnsi="Times New Roman" w:eastAsia="方正仿宋_GBK" w:cs="Times New Roman"/>
                <w:color w:val="auto"/>
                <w:kern w:val="2"/>
                <w:sz w:val="28"/>
                <w:szCs w:val="28"/>
                <w:highlight w:val="none"/>
                <w:lang w:val="en"/>
              </w:rPr>
              <w:t>6</w:t>
            </w: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kern w:val="2"/>
                <w:sz w:val="28"/>
                <w:szCs w:val="28"/>
                <w:highlight w:val="none"/>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kern w:val="2"/>
                <w:sz w:val="28"/>
                <w:szCs w:val="28"/>
                <w:highlight w:val="none"/>
              </w:rPr>
              <w:t>相同口径下，</w:t>
            </w:r>
            <w:r>
              <w:rPr>
                <w:rFonts w:hint="default" w:ascii="Times New Roman" w:hAnsi="Times New Roman" w:eastAsia="方正仿宋_GBK" w:cs="Times New Roman"/>
                <w:color w:val="auto"/>
                <w:sz w:val="28"/>
                <w:szCs w:val="28"/>
                <w:highlight w:val="none"/>
              </w:rPr>
              <w:t>在同一成果文件中，施工图预算的综合误差率超过5%</w:t>
            </w:r>
            <w:r>
              <w:rPr>
                <w:rFonts w:hint="eastAsia" w:ascii="Times New Roman" w:hAnsi="Times New Roman" w:eastAsia="方正仿宋_GBK" w:cs="Times New Roman"/>
                <w:color w:val="auto"/>
                <w:sz w:val="28"/>
                <w:szCs w:val="28"/>
                <w:highlight w:val="none"/>
                <w:lang w:eastAsia="zh-CN"/>
              </w:rPr>
              <w:t>。</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①5%≤A&lt;10%减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②10%≤A&lt;15%减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695" w:hRule="atLeast"/>
        </w:trPr>
        <w:tc>
          <w:tcPr>
            <w:tcW w:w="704" w:type="dxa"/>
            <w:vMerge w:val="continue"/>
            <w:tcBorders>
              <w:left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val="en"/>
              </w:rPr>
              <w:t>17</w:t>
            </w: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kern w:val="2"/>
                <w:sz w:val="28"/>
                <w:szCs w:val="28"/>
                <w:highlight w:val="none"/>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相同口径下，</w:t>
            </w:r>
            <w:r>
              <w:rPr>
                <w:rFonts w:hint="default" w:ascii="Times New Roman" w:hAnsi="Times New Roman" w:eastAsia="方正仿宋_GBK" w:cs="Times New Roman"/>
                <w:color w:val="auto"/>
                <w:sz w:val="28"/>
                <w:szCs w:val="28"/>
                <w:highlight w:val="none"/>
                <w:lang w:eastAsia="zh-CN"/>
              </w:rPr>
              <w:t>在</w:t>
            </w:r>
            <w:r>
              <w:rPr>
                <w:rFonts w:hint="default" w:ascii="Times New Roman" w:hAnsi="Times New Roman" w:eastAsia="方正仿宋_GBK" w:cs="Times New Roman"/>
                <w:color w:val="auto"/>
                <w:sz w:val="28"/>
                <w:szCs w:val="28"/>
                <w:highlight w:val="none"/>
              </w:rPr>
              <w:t>同一成果文件</w:t>
            </w:r>
            <w:r>
              <w:rPr>
                <w:rFonts w:hint="default" w:ascii="Times New Roman" w:hAnsi="Times New Roman" w:eastAsia="方正仿宋_GBK" w:cs="Times New Roman"/>
                <w:color w:val="auto"/>
                <w:sz w:val="28"/>
                <w:szCs w:val="28"/>
                <w:highlight w:val="none"/>
                <w:lang w:eastAsia="zh-CN"/>
              </w:rPr>
              <w:t>中</w:t>
            </w:r>
            <w:r>
              <w:rPr>
                <w:rFonts w:hint="default" w:ascii="Times New Roman" w:hAnsi="Times New Roman" w:eastAsia="方正仿宋_GBK" w:cs="Times New Roman"/>
                <w:color w:val="auto"/>
                <w:sz w:val="28"/>
                <w:szCs w:val="28"/>
                <w:highlight w:val="none"/>
              </w:rPr>
              <w:t>，竣工结算审查结果的综合误差率超过3%</w:t>
            </w:r>
            <w:r>
              <w:rPr>
                <w:rFonts w:hint="eastAsia" w:ascii="Times New Roman" w:hAnsi="Times New Roman" w:eastAsia="方正仿宋_GBK" w:cs="Times New Roman"/>
                <w:color w:val="auto"/>
                <w:sz w:val="28"/>
                <w:szCs w:val="28"/>
                <w:highlight w:val="none"/>
                <w:lang w:eastAsia="zh-CN"/>
              </w:rPr>
              <w:t>。</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①3%≤A&lt;8%减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②8%≤A&lt;13%减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③A≥13%减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417" w:hRule="atLeast"/>
        </w:trPr>
        <w:tc>
          <w:tcPr>
            <w:tcW w:w="704" w:type="dxa"/>
            <w:vMerge w:val="continue"/>
            <w:tcBorders>
              <w:left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val="en"/>
              </w:rPr>
              <w:t>18</w:t>
            </w: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kern w:val="2"/>
                <w:sz w:val="28"/>
                <w:szCs w:val="28"/>
                <w:highlight w:val="none"/>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全过程造价咨询业务中，相同口径下，工程计量与支付审核报告的综合误差率超过5%</w:t>
            </w:r>
            <w:r>
              <w:rPr>
                <w:rFonts w:hint="eastAsia" w:ascii="Times New Roman" w:hAnsi="Times New Roman" w:eastAsia="方正仿宋_GBK" w:cs="Times New Roman"/>
                <w:color w:val="auto"/>
                <w:kern w:val="2"/>
                <w:sz w:val="28"/>
                <w:szCs w:val="28"/>
                <w:highlight w:val="none"/>
                <w:lang w:eastAsia="zh-CN"/>
              </w:rPr>
              <w:t>。</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①5%≤A&lt;10%减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②10%≤A&lt;15%减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③A≥15%减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r>
        <w:tblPrEx>
          <w:tblCellMar>
            <w:top w:w="0" w:type="dxa"/>
            <w:left w:w="108" w:type="dxa"/>
            <w:bottom w:w="0" w:type="dxa"/>
            <w:right w:w="108" w:type="dxa"/>
          </w:tblCellMar>
        </w:tblPrEx>
        <w:trPr>
          <w:trHeight w:val="1417" w:hRule="atLeast"/>
        </w:trPr>
        <w:tc>
          <w:tcPr>
            <w:tcW w:w="704" w:type="dxa"/>
            <w:vMerge w:val="continue"/>
            <w:tcBorders>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b w:val="0"/>
                <w:bCs w:val="0"/>
                <w:color w:val="auto"/>
                <w:kern w:val="2"/>
                <w:sz w:val="28"/>
                <w:szCs w:val="28"/>
                <w:highlight w:val="none"/>
              </w:rPr>
            </w:pPr>
          </w:p>
        </w:tc>
        <w:tc>
          <w:tcPr>
            <w:tcW w:w="594"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lang w:val="en"/>
              </w:rPr>
              <w:t>19</w:t>
            </w: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kern w:val="2"/>
                <w:sz w:val="28"/>
                <w:szCs w:val="28"/>
                <w:highlight w:val="none"/>
              </w:rPr>
            </w:pP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eastAsia" w:ascii="Times New Roman" w:hAnsi="Times New Roman" w:eastAsia="方正仿宋_GBK" w:cs="Times New Roman"/>
                <w:color w:val="auto"/>
                <w:kern w:val="2"/>
                <w:sz w:val="28"/>
                <w:szCs w:val="28"/>
                <w:highlight w:val="none"/>
                <w:lang w:eastAsia="zh-CN"/>
              </w:rPr>
            </w:pPr>
            <w:r>
              <w:rPr>
                <w:rFonts w:hint="default" w:ascii="Times New Roman" w:hAnsi="Times New Roman" w:eastAsia="方正仿宋_GBK" w:cs="Times New Roman"/>
                <w:color w:val="auto"/>
                <w:kern w:val="2"/>
                <w:sz w:val="28"/>
                <w:szCs w:val="28"/>
                <w:highlight w:val="none"/>
              </w:rPr>
              <w:t>全过程造价咨询业务中，相同口径下，合同价款调整成果文件的综合误差率超过3%</w:t>
            </w:r>
            <w:r>
              <w:rPr>
                <w:rFonts w:hint="eastAsia" w:ascii="Times New Roman" w:hAnsi="Times New Roman" w:eastAsia="方正仿宋_GBK" w:cs="Times New Roman"/>
                <w:color w:val="auto"/>
                <w:kern w:val="2"/>
                <w:sz w:val="28"/>
                <w:szCs w:val="28"/>
                <w:highlight w:val="none"/>
                <w:lang w:eastAsia="zh-CN"/>
              </w:rPr>
              <w:t>。</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综合误差率A：</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①3%≤A&lt;8%减</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②8%≤A&lt;13%减</w:t>
            </w:r>
            <w:r>
              <w:rPr>
                <w:rFonts w:hint="default"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分；</w:t>
            </w:r>
          </w:p>
          <w:p>
            <w:pPr>
              <w:widowControl/>
              <w:spacing w:line="380" w:lineRule="exact"/>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③A≥13%减</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0分。</w:t>
            </w:r>
          </w:p>
        </w:tc>
      </w:tr>
    </w:tbl>
    <w:p>
      <w:pPr>
        <w:spacing w:line="240" w:lineRule="auto"/>
        <w:jc w:val="both"/>
        <w:rPr>
          <w:rFonts w:hint="default" w:ascii="Times New Roman" w:hAnsi="Times New Roman" w:eastAsia="方正仿宋_GBK" w:cs="Times New Roman"/>
          <w:b w:val="0"/>
          <w:bCs w:val="0"/>
          <w:color w:val="auto"/>
          <w:sz w:val="30"/>
          <w:szCs w:val="30"/>
          <w:highlight w:val="none"/>
        </w:rPr>
        <w:sectPr>
          <w:pgSz w:w="11906" w:h="16838"/>
          <w:pgMar w:top="1928" w:right="1418" w:bottom="1928" w:left="1418" w:header="851" w:footer="1531" w:gutter="0"/>
          <w:pgNumType w:fmt="decimal"/>
          <w:cols w:space="720" w:num="1"/>
          <w:rtlGutter w:val="0"/>
          <w:docGrid w:type="lines" w:linePitch="408" w:charSpace="0"/>
        </w:sectPr>
      </w:pPr>
      <w:bookmarkStart w:id="0" w:name="_GoBack"/>
      <w:bookmarkEnd w:id="0"/>
    </w:p>
    <w:p/>
    <w:sectPr>
      <w:pgSz w:w="11906" w:h="16838"/>
      <w:pgMar w:top="2098" w:right="1587" w:bottom="1757" w:left="158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adjustRightInd w:val="0"/>
                            <w:ind w:left="210" w:leftChars="100" w:right="210" w:rightChars="100"/>
                            <w:jc w:val="both"/>
                            <w:rPr>
                              <w:rStyle w:val="7"/>
                              <w:rFonts w:hint="eastAsia"/>
                              <w:sz w:val="28"/>
                              <w:szCs w:val="28"/>
                            </w:rPr>
                          </w:pPr>
                          <w:r>
                            <w:rPr>
                              <w:rStyle w:val="7"/>
                              <w:rFonts w:hint="eastAsia"/>
                              <w:sz w:val="28"/>
                              <w:szCs w:val="28"/>
                            </w:rPr>
                            <w:t>—</w:t>
                          </w:r>
                          <w:r>
                            <w:rPr>
                              <w:rStyle w:val="7"/>
                              <w:rFonts w:hint="eastAsia"/>
                              <w:spacing w:val="-20"/>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spacing w:val="-20"/>
                              <w:sz w:val="28"/>
                              <w:szCs w:val="28"/>
                            </w:rPr>
                            <w:t xml:space="preserve"> </w:t>
                          </w:r>
                          <w:r>
                            <w:rPr>
                              <w:rStyle w:val="7"/>
                              <w:rFonts w:hint="eastAsia"/>
                              <w:sz w:val="28"/>
                              <w:szCs w:val="28"/>
                            </w:rPr>
                            <w:t>—</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adjustRightInd w:val="0"/>
                      <w:ind w:left="210" w:leftChars="100" w:right="210" w:rightChars="100"/>
                      <w:jc w:val="both"/>
                      <w:rPr>
                        <w:rStyle w:val="7"/>
                        <w:rFonts w:hint="eastAsia"/>
                        <w:sz w:val="28"/>
                        <w:szCs w:val="28"/>
                      </w:rPr>
                    </w:pPr>
                    <w:r>
                      <w:rPr>
                        <w:rStyle w:val="7"/>
                        <w:rFonts w:hint="eastAsia"/>
                        <w:sz w:val="28"/>
                        <w:szCs w:val="28"/>
                      </w:rPr>
                      <w:t>—</w:t>
                    </w:r>
                    <w:r>
                      <w:rPr>
                        <w:rStyle w:val="7"/>
                        <w:rFonts w:hint="eastAsia"/>
                        <w:spacing w:val="-20"/>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spacing w:val="-20"/>
                        <w:sz w:val="28"/>
                        <w:szCs w:val="28"/>
                      </w:rPr>
                      <w:t xml:space="preserve"> </w:t>
                    </w:r>
                    <w:r>
                      <w:rPr>
                        <w:rStyle w:val="7"/>
                        <w:rFonts w:hint="eastAsia"/>
                        <w:sz w:val="28"/>
                        <w:szCs w:val="28"/>
                      </w:rPr>
                      <w:t>—</w:t>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WY2YzdmYjg5ZmJhYTE4MjkyZTkwYjljZDZiNDcifQ=="/>
  </w:docVars>
  <w:rsids>
    <w:rsidRoot w:val="0BA77198"/>
    <w:rsid w:val="096B303A"/>
    <w:rsid w:val="0BA77198"/>
    <w:rsid w:val="223067CD"/>
    <w:rsid w:val="2A37166F"/>
    <w:rsid w:val="2B3B7993"/>
    <w:rsid w:val="62267368"/>
    <w:rsid w:val="65533E5D"/>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uppressAutoHyphens/>
      <w:bidi w:val="0"/>
      <w:ind w:left="220"/>
    </w:pPr>
    <w:rPr>
      <w:rFonts w:ascii="宋体" w:hAnsi="宋体" w:eastAsia="宋体" w:cs="宋体"/>
      <w:color w:val="auto"/>
      <w:sz w:val="24"/>
      <w:szCs w:val="24"/>
      <w:lang w:eastAsia="en-US" w:bidi="en-US"/>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2024-04-23T10:04:00Z</dcterms:created>
  <dc:creator>欧m</dc:creator>
  <cp:lastModifiedBy>欧m</cp:lastModifiedBy>
  <dcterms:modified xsi:type="dcterms:W3CDTF">2024-04-23T10:05:30Z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B65FA537382241ADA6446CB313EF690B_11</vt:lpwstr>
  </property>
</Properties>
</file>