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附件2</w:t>
      </w:r>
    </w:p>
    <w:p>
      <w:pPr>
        <w:jc w:val="center"/>
        <w:rPr>
          <w:rFonts w:hint="eastAsia" w:ascii="方正小标宋_GBK" w:hAnsi="方正小标宋_GBK" w:eastAsia="方正小标宋_GBK" w:cs="方正小标宋_GBK"/>
          <w:bCs w:val="0"/>
          <w:color w:val="auto"/>
          <w:sz w:val="36"/>
          <w:szCs w:val="36"/>
          <w:highlight w:val="none"/>
        </w:rPr>
      </w:pPr>
      <w:r>
        <w:rPr>
          <w:rFonts w:hint="eastAsia" w:ascii="方正小标宋_GBK" w:hAnsi="方正小标宋_GBK" w:eastAsia="方正小标宋_GBK" w:cs="方正小标宋_GBK"/>
          <w:bCs w:val="0"/>
          <w:color w:val="auto"/>
          <w:sz w:val="36"/>
          <w:szCs w:val="36"/>
          <w:highlight w:val="none"/>
          <w:lang w:val="en-US" w:eastAsia="zh-CN"/>
        </w:rPr>
        <w:t>注册造价工程师诚信评价内容及评分标准</w:t>
      </w:r>
    </w:p>
    <w:tbl>
      <w:tblPr>
        <w:tblStyle w:val="5"/>
        <w:tblW w:w="0" w:type="auto"/>
        <w:jc w:val="center"/>
        <w:tblLayout w:type="fixed"/>
        <w:tblCellMar>
          <w:top w:w="0" w:type="dxa"/>
          <w:left w:w="108" w:type="dxa"/>
          <w:bottom w:w="0" w:type="dxa"/>
          <w:right w:w="108" w:type="dxa"/>
        </w:tblCellMar>
      </w:tblPr>
      <w:tblGrid>
        <w:gridCol w:w="704"/>
        <w:gridCol w:w="608"/>
        <w:gridCol w:w="1110"/>
        <w:gridCol w:w="2656"/>
        <w:gridCol w:w="1182"/>
        <w:gridCol w:w="3115"/>
      </w:tblGrid>
      <w:tr>
        <w:tblPrEx>
          <w:tblCellMar>
            <w:top w:w="0" w:type="dxa"/>
            <w:left w:w="108" w:type="dxa"/>
            <w:bottom w:w="0" w:type="dxa"/>
            <w:right w:w="108" w:type="dxa"/>
          </w:tblCellMar>
        </w:tblPrEx>
        <w:trPr>
          <w:trHeight w:val="61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方正黑体_GBK" w:hAnsi="方正黑体_GBK" w:eastAsia="方正黑体_GBK" w:cs="方正黑体_GBK"/>
                <w:b w:val="0"/>
                <w:bCs w:val="0"/>
                <w:kern w:val="2"/>
                <w:sz w:val="28"/>
                <w:szCs w:val="28"/>
                <w:lang w:eastAsia="zh-CN"/>
              </w:rPr>
            </w:pPr>
            <w:r>
              <w:rPr>
                <w:rFonts w:hint="eastAsia" w:ascii="方正黑体_GBK" w:hAnsi="方正黑体_GBK" w:eastAsia="方正黑体_GBK" w:cs="方正黑体_GBK"/>
                <w:b w:val="0"/>
                <w:bCs w:val="0"/>
                <w:kern w:val="2"/>
                <w:sz w:val="28"/>
                <w:szCs w:val="28"/>
                <w:lang w:eastAsia="zh-CN"/>
              </w:rPr>
              <w:t>分类</w:t>
            </w:r>
          </w:p>
        </w:tc>
        <w:tc>
          <w:tcPr>
            <w:tcW w:w="608"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序号</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评价</w:t>
            </w:r>
          </w:p>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内容</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评分标准</w:t>
            </w:r>
          </w:p>
        </w:tc>
        <w:tc>
          <w:tcPr>
            <w:tcW w:w="118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得分值</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评分说明</w:t>
            </w:r>
          </w:p>
        </w:tc>
      </w:tr>
      <w:tr>
        <w:tblPrEx>
          <w:tblCellMar>
            <w:top w:w="0" w:type="dxa"/>
            <w:left w:w="108" w:type="dxa"/>
            <w:bottom w:w="0" w:type="dxa"/>
            <w:right w:w="108" w:type="dxa"/>
          </w:tblCellMar>
        </w:tblPrEx>
        <w:trPr>
          <w:trHeight w:val="966"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rPr>
              <w:t>个人基本信息</w:t>
            </w:r>
          </w:p>
        </w:tc>
        <w:tc>
          <w:tcPr>
            <w:tcW w:w="608"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1</w:t>
            </w:r>
          </w:p>
        </w:tc>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基本</w:t>
            </w:r>
          </w:p>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情况</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姓名、身份证号码、注册单位、社会保险缴纳情况等。</w:t>
            </w:r>
          </w:p>
        </w:tc>
        <w:tc>
          <w:tcPr>
            <w:tcW w:w="118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1</w:t>
            </w:r>
          </w:p>
        </w:tc>
        <w:tc>
          <w:tcPr>
            <w:tcW w:w="3115"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基本情况录入需完整、准确，评分时录入的信息不齐全</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不达标</w:t>
            </w:r>
            <w:r>
              <w:rPr>
                <w:rFonts w:hint="default" w:ascii="Times New Roman" w:hAnsi="Times New Roman" w:eastAsia="方正仿宋_GBK" w:cs="Times New Roman"/>
                <w:sz w:val="28"/>
                <w:szCs w:val="28"/>
                <w:lang w:eastAsia="zh-CN"/>
              </w:rPr>
              <w:t>、不及时</w:t>
            </w:r>
            <w:r>
              <w:rPr>
                <w:rFonts w:hint="default" w:ascii="Times New Roman" w:hAnsi="Times New Roman" w:eastAsia="方正仿宋_GBK" w:cs="Times New Roman"/>
                <w:sz w:val="28"/>
                <w:szCs w:val="28"/>
              </w:rPr>
              <w:t>的不得分。</w:t>
            </w:r>
          </w:p>
        </w:tc>
      </w:tr>
      <w:tr>
        <w:tblPrEx>
          <w:tblCellMar>
            <w:top w:w="0" w:type="dxa"/>
            <w:left w:w="108" w:type="dxa"/>
            <w:bottom w:w="0" w:type="dxa"/>
            <w:right w:w="108" w:type="dxa"/>
          </w:tblCellMar>
        </w:tblPrEx>
        <w:trPr>
          <w:trHeight w:val="1201"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kern w:val="2"/>
                <w:sz w:val="28"/>
                <w:szCs w:val="28"/>
              </w:rPr>
            </w:pPr>
          </w:p>
        </w:tc>
        <w:tc>
          <w:tcPr>
            <w:tcW w:w="608"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kern w:val="2"/>
                <w:sz w:val="28"/>
                <w:szCs w:val="28"/>
                <w:lang w:val="en-US" w:eastAsia="zh-CN"/>
              </w:rPr>
              <w:t>2</w:t>
            </w: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rPr>
              <w:t>职称</w:t>
            </w:r>
            <w:r>
              <w:rPr>
                <w:rFonts w:hint="default" w:ascii="Times New Roman" w:hAnsi="Times New Roman" w:eastAsia="方正仿宋_GBK" w:cs="Times New Roman"/>
                <w:kern w:val="2"/>
                <w:sz w:val="28"/>
                <w:szCs w:val="28"/>
                <w:lang w:eastAsia="zh-CN"/>
              </w:rPr>
              <w:t>情况：</w:t>
            </w:r>
            <w:r>
              <w:rPr>
                <w:rFonts w:hint="default" w:ascii="Times New Roman" w:hAnsi="Times New Roman" w:eastAsia="方正仿宋_GBK" w:cs="Times New Roman"/>
                <w:kern w:val="2"/>
                <w:sz w:val="28"/>
                <w:szCs w:val="28"/>
              </w:rPr>
              <w:t>根据个人获得的工程或工程经济类专业技术职称等级计算相应分值。</w:t>
            </w:r>
          </w:p>
        </w:tc>
        <w:tc>
          <w:tcPr>
            <w:tcW w:w="118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kern w:val="2"/>
                <w:sz w:val="28"/>
                <w:szCs w:val="28"/>
                <w:lang w:val="en-US" w:eastAsia="zh-CN"/>
              </w:rPr>
              <w:t>4</w:t>
            </w:r>
          </w:p>
        </w:tc>
        <w:tc>
          <w:tcPr>
            <w:tcW w:w="3115"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both"/>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kern w:val="2"/>
                <w:sz w:val="28"/>
                <w:szCs w:val="28"/>
                <w:lang w:eastAsia="zh-CN"/>
              </w:rPr>
              <w:t>初级职称得</w:t>
            </w:r>
            <w:r>
              <w:rPr>
                <w:rFonts w:hint="default" w:ascii="Times New Roman" w:hAnsi="Times New Roman" w:eastAsia="方正仿宋_GBK" w:cs="Times New Roman"/>
                <w:kern w:val="2"/>
                <w:sz w:val="28"/>
                <w:szCs w:val="28"/>
                <w:lang w:val="en-US" w:eastAsia="zh-CN"/>
              </w:rPr>
              <w:t>1分；</w:t>
            </w:r>
          </w:p>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中级职称得</w:t>
            </w:r>
            <w:r>
              <w:rPr>
                <w:rFonts w:hint="default" w:ascii="Times New Roman" w:hAnsi="Times New Roman" w:eastAsia="方正仿宋_GBK" w:cs="Times New Roman"/>
                <w:kern w:val="2"/>
                <w:sz w:val="28"/>
                <w:szCs w:val="28"/>
                <w:lang w:val="en-US" w:eastAsia="zh-CN"/>
              </w:rPr>
              <w:t>2</w:t>
            </w:r>
            <w:r>
              <w:rPr>
                <w:rFonts w:hint="default" w:ascii="Times New Roman" w:hAnsi="Times New Roman" w:eastAsia="方正仿宋_GBK" w:cs="Times New Roman"/>
                <w:kern w:val="2"/>
                <w:sz w:val="28"/>
                <w:szCs w:val="28"/>
              </w:rPr>
              <w:t>分；</w:t>
            </w:r>
          </w:p>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eastAsia="zh-CN"/>
              </w:rPr>
              <w:t>副高</w:t>
            </w:r>
            <w:r>
              <w:rPr>
                <w:rFonts w:hint="default" w:ascii="Times New Roman" w:hAnsi="Times New Roman" w:eastAsia="方正仿宋_GBK" w:cs="Times New Roman"/>
                <w:kern w:val="2"/>
                <w:sz w:val="28"/>
                <w:szCs w:val="28"/>
              </w:rPr>
              <w:t>级职称得</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分；</w:t>
            </w:r>
          </w:p>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eastAsia="zh-CN"/>
              </w:rPr>
              <w:t>正</w:t>
            </w:r>
            <w:r>
              <w:rPr>
                <w:rFonts w:hint="default" w:ascii="Times New Roman" w:hAnsi="Times New Roman" w:eastAsia="方正仿宋_GBK" w:cs="Times New Roman"/>
                <w:kern w:val="2"/>
                <w:sz w:val="28"/>
                <w:szCs w:val="28"/>
              </w:rPr>
              <w:t>高级职称得</w:t>
            </w:r>
            <w:r>
              <w:rPr>
                <w:rFonts w:hint="default" w:ascii="Times New Roman" w:hAnsi="Times New Roman" w:eastAsia="方正仿宋_GBK" w:cs="Times New Roman"/>
                <w:kern w:val="2"/>
                <w:sz w:val="28"/>
                <w:szCs w:val="28"/>
                <w:lang w:val="en-US" w:eastAsia="zh-CN"/>
              </w:rPr>
              <w:t>4</w:t>
            </w:r>
            <w:r>
              <w:rPr>
                <w:rFonts w:hint="default" w:ascii="Times New Roman" w:hAnsi="Times New Roman" w:eastAsia="方正仿宋_GBK" w:cs="Times New Roman"/>
                <w:kern w:val="2"/>
                <w:sz w:val="28"/>
                <w:szCs w:val="28"/>
              </w:rPr>
              <w:t>分。</w:t>
            </w:r>
          </w:p>
        </w:tc>
      </w:tr>
      <w:tr>
        <w:tblPrEx>
          <w:tblCellMar>
            <w:top w:w="0" w:type="dxa"/>
            <w:left w:w="108" w:type="dxa"/>
            <w:bottom w:w="0" w:type="dxa"/>
            <w:right w:w="108" w:type="dxa"/>
          </w:tblCellMar>
        </w:tblPrEx>
        <w:trPr>
          <w:trHeight w:val="197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kern w:val="2"/>
                <w:sz w:val="28"/>
                <w:szCs w:val="28"/>
                <w:lang w:val="en-US" w:eastAsia="zh-CN"/>
              </w:rPr>
              <w:t>3</w:t>
            </w: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eastAsia="zh-CN"/>
              </w:rPr>
              <w:t>执业资格：</w:t>
            </w:r>
            <w:r>
              <w:rPr>
                <w:rFonts w:hint="default" w:ascii="Times New Roman" w:hAnsi="Times New Roman" w:eastAsia="方正仿宋_GBK" w:cs="Times New Roman"/>
                <w:kern w:val="2"/>
                <w:sz w:val="28"/>
                <w:szCs w:val="28"/>
              </w:rPr>
              <w:t>根据个人获得的注册造价工程师等级计算相应分值。</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lang w:val="en-US" w:eastAsia="zh-CN"/>
              </w:rPr>
            </w:pPr>
            <w:r>
              <w:rPr>
                <w:rFonts w:hint="default" w:ascii="Times New Roman" w:hAnsi="Times New Roman" w:eastAsia="方正仿宋_GBK" w:cs="Times New Roman"/>
                <w:kern w:val="2"/>
                <w:sz w:val="28"/>
                <w:szCs w:val="28"/>
                <w:lang w:val="en-US" w:eastAsia="zh-CN"/>
              </w:rPr>
              <w:t>5</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具有一级注册造价工程师一个专业执业资格的得</w:t>
            </w:r>
            <w:r>
              <w:rPr>
                <w:rFonts w:hint="default" w:ascii="Times New Roman" w:hAnsi="Times New Roman" w:eastAsia="方正仿宋_GBK" w:cs="Times New Roman"/>
                <w:kern w:val="2"/>
                <w:sz w:val="28"/>
                <w:szCs w:val="28"/>
                <w:lang w:val="en-US" w:eastAsia="zh-CN"/>
              </w:rPr>
              <w:t>4</w:t>
            </w:r>
            <w:r>
              <w:rPr>
                <w:rFonts w:hint="default" w:ascii="Times New Roman" w:hAnsi="Times New Roman" w:eastAsia="方正仿宋_GBK" w:cs="Times New Roman"/>
                <w:kern w:val="2"/>
                <w:sz w:val="28"/>
                <w:szCs w:val="28"/>
              </w:rPr>
              <w:t>分，具有两个专业的，增项计1分。</w:t>
            </w:r>
          </w:p>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具有二级注册造价工程师一个专业执业资格的得</w:t>
            </w:r>
            <w:r>
              <w:rPr>
                <w:rFonts w:hint="default" w:ascii="Times New Roman" w:hAnsi="Times New Roman" w:eastAsia="方正仿宋_GBK" w:cs="Times New Roman"/>
                <w:kern w:val="2"/>
                <w:sz w:val="28"/>
                <w:szCs w:val="28"/>
                <w:lang w:val="en-US" w:eastAsia="zh-CN"/>
              </w:rPr>
              <w:t>2</w:t>
            </w:r>
            <w:r>
              <w:rPr>
                <w:rFonts w:hint="default" w:ascii="Times New Roman" w:hAnsi="Times New Roman" w:eastAsia="方正仿宋_GBK" w:cs="Times New Roman"/>
                <w:kern w:val="2"/>
                <w:sz w:val="28"/>
                <w:szCs w:val="28"/>
              </w:rPr>
              <w:t>分，具有两个专业的，增项计1分。</w:t>
            </w:r>
          </w:p>
        </w:tc>
      </w:tr>
      <w:tr>
        <w:tblPrEx>
          <w:tblCellMar>
            <w:top w:w="0" w:type="dxa"/>
            <w:left w:w="108" w:type="dxa"/>
            <w:bottom w:w="0" w:type="dxa"/>
            <w:right w:w="108" w:type="dxa"/>
          </w:tblCellMar>
        </w:tblPrEx>
        <w:trPr>
          <w:trHeight w:val="77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造价咨询业绩信息</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sz w:val="28"/>
                <w:szCs w:val="28"/>
              </w:rPr>
              <w:t>个人参与完成的工程造价咨询项目信息包括项目名称、项目类别、项目规模、项目负责人、委托单位等。</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Cs w:val="0"/>
                <w:kern w:val="2"/>
                <w:sz w:val="28"/>
                <w:szCs w:val="28"/>
              </w:rPr>
            </w:pPr>
            <w:r>
              <w:rPr>
                <w:rFonts w:hint="default" w:ascii="Times New Roman" w:hAnsi="Times New Roman" w:eastAsia="方正仿宋_GBK" w:cs="Times New Roman"/>
                <w:kern w:val="2"/>
                <w:sz w:val="28"/>
                <w:szCs w:val="28"/>
              </w:rPr>
              <w:t>10</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①在具有法律效力的工程造价成果文件封面签署名字并加盖执业印章的项目，方可视为署名造价工程师参与完成的项目业绩。</w:t>
            </w:r>
          </w:p>
          <w:p>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②要求个人上传2022年1月1日以来参与完成的全部业绩信息，如有瞒报漏报情况，经核实后减2分/项。</w:t>
            </w:r>
          </w:p>
        </w:tc>
      </w:tr>
    </w:tbl>
    <w:p>
      <w:pPr>
        <w:jc w:val="center"/>
        <w:rPr>
          <w:rFonts w:hint="eastAsia" w:ascii="方正小标宋_GBK" w:hAnsi="方正小标宋_GBK" w:eastAsia="方正小标宋_GBK" w:cs="方正小标宋_GBK"/>
          <w:bCs w:val="0"/>
          <w:color w:val="auto"/>
          <w:sz w:val="36"/>
          <w:szCs w:val="36"/>
          <w:highlight w:val="none"/>
          <w:lang w:val="en-US" w:eastAsia="zh-CN"/>
        </w:rPr>
      </w:pPr>
      <w:r>
        <w:rPr>
          <w:rFonts w:hint="eastAsia" w:ascii="方正小标宋_GBK" w:hAnsi="方正小标宋_GBK" w:eastAsia="方正小标宋_GBK" w:cs="方正小标宋_GBK"/>
          <w:bCs w:val="0"/>
          <w:color w:val="auto"/>
          <w:sz w:val="36"/>
          <w:szCs w:val="36"/>
          <w:highlight w:val="none"/>
          <w:lang w:val="en-US" w:eastAsia="zh-CN"/>
        </w:rPr>
        <w:t>注册造价工程师诚信评价内容及评分标准</w:t>
      </w:r>
    </w:p>
    <w:tbl>
      <w:tblPr>
        <w:tblStyle w:val="5"/>
        <w:tblW w:w="0" w:type="auto"/>
        <w:jc w:val="center"/>
        <w:tblLayout w:type="fixed"/>
        <w:tblCellMar>
          <w:top w:w="0" w:type="dxa"/>
          <w:left w:w="108" w:type="dxa"/>
          <w:bottom w:w="0" w:type="dxa"/>
          <w:right w:w="108" w:type="dxa"/>
        </w:tblCellMar>
      </w:tblPr>
      <w:tblGrid>
        <w:gridCol w:w="704"/>
        <w:gridCol w:w="608"/>
        <w:gridCol w:w="1110"/>
        <w:gridCol w:w="2656"/>
        <w:gridCol w:w="1182"/>
        <w:gridCol w:w="3115"/>
      </w:tblGrid>
      <w:tr>
        <w:tblPrEx>
          <w:tblCellMar>
            <w:top w:w="0" w:type="dxa"/>
            <w:left w:w="108" w:type="dxa"/>
            <w:bottom w:w="0" w:type="dxa"/>
            <w:right w:w="108" w:type="dxa"/>
          </w:tblCellMar>
        </w:tblPrEx>
        <w:trPr>
          <w:trHeight w:val="1014" w:hRule="atLeast"/>
          <w:jc w:val="center"/>
        </w:trPr>
        <w:tc>
          <w:tcPr>
            <w:tcW w:w="704" w:type="dxa"/>
            <w:tcBorders>
              <w:top w:val="single" w:color="auto" w:sz="4" w:space="0"/>
              <w:left w:val="single" w:color="auto" w:sz="4" w:space="0"/>
              <w:right w:val="single" w:color="auto" w:sz="4" w:space="0"/>
            </w:tcBorders>
            <w:noWrap w:val="0"/>
            <w:vAlign w:val="center"/>
          </w:tcPr>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eastAsia="zh-CN"/>
              </w:rPr>
              <w:t>分类</w:t>
            </w:r>
          </w:p>
        </w:tc>
        <w:tc>
          <w:tcPr>
            <w:tcW w:w="60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bCs w:val="0"/>
                <w:kern w:val="2"/>
                <w:sz w:val="28"/>
                <w:szCs w:val="28"/>
              </w:rPr>
            </w:pPr>
            <w:r>
              <w:rPr>
                <w:rFonts w:hint="eastAsia" w:ascii="方正黑体_GBK" w:hAnsi="方正黑体_GBK" w:eastAsia="方正黑体_GBK" w:cs="方正黑体_GBK"/>
                <w:b w:val="0"/>
                <w:bCs w:val="0"/>
                <w:kern w:val="2"/>
                <w:sz w:val="28"/>
                <w:szCs w:val="28"/>
              </w:rPr>
              <w:t>评价</w:t>
            </w:r>
          </w:p>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rPr>
              <w:t>内容</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rPr>
              <w:t>评分标准</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rPr>
              <w:t>得分值</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rPr>
              <w:t>评分说明</w:t>
            </w:r>
          </w:p>
        </w:tc>
      </w:tr>
      <w:tr>
        <w:tblPrEx>
          <w:tblCellMar>
            <w:top w:w="0" w:type="dxa"/>
            <w:left w:w="108" w:type="dxa"/>
            <w:bottom w:w="0" w:type="dxa"/>
            <w:right w:w="108" w:type="dxa"/>
          </w:tblCellMar>
        </w:tblPrEx>
        <w:trPr>
          <w:trHeight w:val="2185" w:hRule="atLeast"/>
          <w:jc w:val="center"/>
        </w:trPr>
        <w:tc>
          <w:tcPr>
            <w:tcW w:w="704" w:type="dxa"/>
            <w:vMerge w:val="restart"/>
            <w:tcBorders>
              <w:top w:val="single" w:color="auto" w:sz="4" w:space="0"/>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kern w:val="2"/>
                <w:sz w:val="28"/>
                <w:szCs w:val="28"/>
              </w:rPr>
            </w:pPr>
            <w:r>
              <w:rPr>
                <w:rFonts w:hint="default" w:ascii="Times New Roman" w:hAnsi="Times New Roman" w:eastAsia="方正仿宋_GBK" w:cs="Times New Roman"/>
                <w:b/>
                <w:bCs/>
                <w:kern w:val="2"/>
                <w:sz w:val="28"/>
                <w:szCs w:val="28"/>
              </w:rPr>
              <w:t>个人良好信息</w:t>
            </w:r>
          </w:p>
        </w:tc>
        <w:tc>
          <w:tcPr>
            <w:tcW w:w="60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表扬</w:t>
            </w:r>
          </w:p>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表彰</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rPr>
              <w:t>在工程造价咨询活动中，获得县级以上人民政府或住房城乡建设主管部门的通报表扬或表彰。</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Cs w:val="0"/>
                <w:kern w:val="2"/>
                <w:sz w:val="28"/>
                <w:szCs w:val="28"/>
              </w:rPr>
            </w:pPr>
            <w:r>
              <w:rPr>
                <w:rFonts w:hint="default" w:ascii="Times New Roman" w:hAnsi="Times New Roman" w:eastAsia="方正仿宋_GBK" w:cs="Times New Roman"/>
                <w:kern w:val="2"/>
                <w:sz w:val="28"/>
                <w:szCs w:val="28"/>
              </w:rPr>
              <w:t>20</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获县级2分/项，</w:t>
            </w:r>
          </w:p>
          <w:p>
            <w:pPr>
              <w:widowControl/>
              <w:spacing w:line="38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获市级（含地级市）5分/项，获自治区级8分/项，获国家级10分/项。</w:t>
            </w:r>
          </w:p>
        </w:tc>
      </w:tr>
      <w:tr>
        <w:tblPrEx>
          <w:tblCellMar>
            <w:top w:w="0" w:type="dxa"/>
            <w:left w:w="108" w:type="dxa"/>
            <w:bottom w:w="0" w:type="dxa"/>
            <w:right w:w="108" w:type="dxa"/>
          </w:tblCellMar>
        </w:tblPrEx>
        <w:trPr>
          <w:trHeight w:val="4690" w:hRule="atLeast"/>
          <w:jc w:val="center"/>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Cs w:val="0"/>
                <w:kern w:val="2"/>
                <w:sz w:val="28"/>
                <w:szCs w:val="2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获奖</w:t>
            </w:r>
          </w:p>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情况</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在工程造价咨询活动中，获得设区市级以上建设工程造价行业协会的奖项</w:t>
            </w:r>
            <w:r>
              <w:rPr>
                <w:rFonts w:hint="default" w:ascii="Times New Roman" w:hAnsi="Times New Roman" w:eastAsia="方正仿宋_GBK" w:cs="Times New Roman"/>
                <w:kern w:val="2"/>
                <w:sz w:val="28"/>
                <w:szCs w:val="28"/>
                <w:lang w:eastAsia="zh-CN"/>
              </w:rPr>
              <w:t>，</w:t>
            </w:r>
            <w:r>
              <w:rPr>
                <w:rFonts w:hint="default" w:ascii="Times New Roman" w:hAnsi="Times New Roman" w:eastAsia="方正仿宋_GBK" w:cs="Times New Roman"/>
                <w:kern w:val="2"/>
                <w:sz w:val="28"/>
                <w:szCs w:val="28"/>
              </w:rPr>
              <w:t>包含优秀论文奖、优秀</w:t>
            </w:r>
            <w:r>
              <w:rPr>
                <w:rFonts w:hint="default" w:ascii="Times New Roman" w:hAnsi="Times New Roman" w:eastAsia="方正仿宋_GBK" w:cs="Times New Roman"/>
                <w:kern w:val="2"/>
                <w:sz w:val="28"/>
                <w:szCs w:val="28"/>
                <w:lang w:eastAsia="zh-CN"/>
              </w:rPr>
              <w:t>工程造价成果等级评定（优秀工程造价成果奖）</w:t>
            </w:r>
            <w:r>
              <w:rPr>
                <w:rFonts w:hint="default" w:ascii="Times New Roman" w:hAnsi="Times New Roman" w:eastAsia="方正仿宋_GBK" w:cs="Times New Roman"/>
                <w:kern w:val="2"/>
                <w:sz w:val="28"/>
                <w:szCs w:val="28"/>
              </w:rPr>
              <w:t>、造价业务技能竞赛等。</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10</w:t>
            </w:r>
          </w:p>
        </w:tc>
        <w:tc>
          <w:tcPr>
            <w:tcW w:w="31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①获市级奖项：</w:t>
            </w:r>
          </w:p>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一等奖3分/项，二等奖2分/项，三等奖1分/项。</w:t>
            </w:r>
          </w:p>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②获自治区级奖项：</w:t>
            </w:r>
          </w:p>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一等奖5分/项，二等奖4分/项，三等奖3分/项。</w:t>
            </w:r>
          </w:p>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③获国家级奖项：</w:t>
            </w:r>
          </w:p>
          <w:p>
            <w:pPr>
              <w:widowControl/>
              <w:spacing w:line="380" w:lineRule="exact"/>
              <w:ind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一等奖7分/项，二等奖6分/项，三等奖5分/项。</w:t>
            </w:r>
          </w:p>
        </w:tc>
      </w:tr>
    </w:tbl>
    <w:p>
      <w:pPr>
        <w:spacing w:line="240" w:lineRule="auto"/>
        <w:jc w:val="center"/>
        <w:rPr>
          <w:rFonts w:hint="eastAsia" w:ascii="方正小标宋_GBK" w:hAnsi="方正小标宋_GBK" w:eastAsia="方正小标宋_GBK" w:cs="方正小标宋_GBK"/>
          <w:bCs w:val="0"/>
          <w:color w:val="auto"/>
          <w:sz w:val="44"/>
          <w:szCs w:val="44"/>
          <w:highlight w:val="none"/>
          <w:lang w:val="en"/>
        </w:rPr>
        <w:sectPr>
          <w:pgSz w:w="11906" w:h="16838"/>
          <w:pgMar w:top="1928" w:right="1418" w:bottom="1928" w:left="1418" w:header="851" w:footer="1531" w:gutter="0"/>
          <w:pgNumType w:fmt="decimal"/>
          <w:cols w:space="720" w:num="1"/>
          <w:rtlGutter w:val="0"/>
          <w:docGrid w:type="lines" w:linePitch="408" w:charSpace="0"/>
        </w:sectPr>
      </w:pPr>
    </w:p>
    <w:p>
      <w:pPr>
        <w:jc w:val="center"/>
        <w:rPr>
          <w:rFonts w:hint="eastAsia" w:ascii="方正小标宋_GBK" w:hAnsi="方正小标宋_GBK" w:eastAsia="方正小标宋_GBK" w:cs="方正小标宋_GBK"/>
          <w:bCs w:val="0"/>
          <w:color w:val="auto"/>
          <w:sz w:val="36"/>
          <w:szCs w:val="36"/>
          <w:highlight w:val="none"/>
          <w:lang w:val="en-US" w:eastAsia="zh-CN"/>
        </w:rPr>
      </w:pPr>
      <w:r>
        <w:rPr>
          <w:rFonts w:hint="eastAsia" w:ascii="方正小标宋_GBK" w:hAnsi="方正小标宋_GBK" w:eastAsia="方正小标宋_GBK" w:cs="方正小标宋_GBK"/>
          <w:bCs w:val="0"/>
          <w:color w:val="auto"/>
          <w:sz w:val="36"/>
          <w:szCs w:val="36"/>
          <w:highlight w:val="none"/>
          <w:lang w:val="en-US" w:eastAsia="zh-CN"/>
        </w:rPr>
        <w:t>注册造价工程师诚信评价内容及评分标准</w:t>
      </w:r>
    </w:p>
    <w:tbl>
      <w:tblPr>
        <w:tblStyle w:val="5"/>
        <w:tblW w:w="0" w:type="auto"/>
        <w:tblInd w:w="91" w:type="dxa"/>
        <w:tblLayout w:type="fixed"/>
        <w:tblCellMar>
          <w:top w:w="0" w:type="dxa"/>
          <w:left w:w="108" w:type="dxa"/>
          <w:bottom w:w="0" w:type="dxa"/>
          <w:right w:w="108" w:type="dxa"/>
        </w:tblCellMar>
      </w:tblPr>
      <w:tblGrid>
        <w:gridCol w:w="704"/>
        <w:gridCol w:w="594"/>
        <w:gridCol w:w="1140"/>
        <w:gridCol w:w="5367"/>
        <w:gridCol w:w="1375"/>
      </w:tblGrid>
      <w:tr>
        <w:tblPrEx>
          <w:tblCellMar>
            <w:top w:w="0" w:type="dxa"/>
            <w:left w:w="108" w:type="dxa"/>
            <w:bottom w:w="0" w:type="dxa"/>
            <w:right w:w="108" w:type="dxa"/>
          </w:tblCellMar>
        </w:tblPrEx>
        <w:trPr>
          <w:trHeight w:val="839"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序号</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评价</w:t>
            </w:r>
          </w:p>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内容</w:t>
            </w: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评分标准</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减分</w:t>
            </w:r>
          </w:p>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标准</w:t>
            </w:r>
          </w:p>
        </w:tc>
      </w:tr>
      <w:tr>
        <w:tblPrEx>
          <w:tblCellMar>
            <w:top w:w="0" w:type="dxa"/>
            <w:left w:w="108" w:type="dxa"/>
            <w:bottom w:w="0" w:type="dxa"/>
            <w:right w:w="108" w:type="dxa"/>
          </w:tblCellMar>
        </w:tblPrEx>
        <w:trPr>
          <w:trHeight w:val="850" w:hRule="atLeast"/>
        </w:trPr>
        <w:tc>
          <w:tcPr>
            <w:tcW w:w="704"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rPr>
              <w:t>个人不良信息</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p>
        </w:tc>
        <w:tc>
          <w:tcPr>
            <w:tcW w:w="1140"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市场</w:t>
            </w:r>
          </w:p>
          <w:p>
            <w:pPr>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行为</w:t>
            </w: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以欺骗、贿赂等不正当手段取得造价工程师注册被注册机关撤销注册。</w:t>
            </w:r>
          </w:p>
        </w:tc>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30分/次</w:t>
            </w:r>
          </w:p>
        </w:tc>
      </w:tr>
      <w:tr>
        <w:tblPrEx>
          <w:tblCellMar>
            <w:top w:w="0" w:type="dxa"/>
            <w:left w:w="108" w:type="dxa"/>
            <w:bottom w:w="0" w:type="dxa"/>
            <w:right w:w="108" w:type="dxa"/>
          </w:tblCellMar>
        </w:tblPrEx>
        <w:trPr>
          <w:trHeight w:val="85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持证人注册单位与实际工作单位不符，存在“挂证”行为。</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90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个人提供虚假材料或不配合县级以上住房城乡建设主管部门依法实施的监督检查。</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85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4</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个人在从事工程造价咨询活动中被追究刑事责任。</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85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5</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在工程造价咨询活动中，索贿受贿或者谋取合同约定费用外的其他利益。</w:t>
            </w:r>
          </w:p>
        </w:tc>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r>
              <w:rPr>
                <w:rFonts w:hint="default" w:ascii="Times New Roman" w:hAnsi="Times New Roman" w:eastAsia="方正仿宋_GBK" w:cs="Times New Roman"/>
                <w:color w:val="auto"/>
                <w:kern w:val="2"/>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分/次</w:t>
            </w:r>
          </w:p>
        </w:tc>
      </w:tr>
      <w:tr>
        <w:tblPrEx>
          <w:tblCellMar>
            <w:top w:w="0" w:type="dxa"/>
            <w:left w:w="108" w:type="dxa"/>
            <w:bottom w:w="0" w:type="dxa"/>
            <w:right w:w="108" w:type="dxa"/>
          </w:tblCellMar>
        </w:tblPrEx>
        <w:trPr>
          <w:trHeight w:val="75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6</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泄露国家秘密和他人的商业、技术秘密。</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74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7</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同时在两个或者两个以上单位执业。</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85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8</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涂改、倒卖、出租、出借或者以其他形式非法转让注册证书或者执业印章。</w:t>
            </w:r>
          </w:p>
        </w:tc>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96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9</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rPr>
              <w:t>超出注册专业、级别范围和聘用单位业务范围内从事执业活动。</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10分/次</w:t>
            </w:r>
          </w:p>
        </w:tc>
      </w:tr>
      <w:tr>
        <w:tblPrEx>
          <w:tblCellMar>
            <w:top w:w="0" w:type="dxa"/>
            <w:left w:w="108" w:type="dxa"/>
            <w:bottom w:w="0" w:type="dxa"/>
            <w:right w:w="108" w:type="dxa"/>
          </w:tblCellMar>
        </w:tblPrEx>
        <w:trPr>
          <w:trHeight w:val="85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US" w:eastAsia="zh-CN"/>
              </w:rPr>
              <w:t>0</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除上述所列，受到住房城乡建设部行政处罚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30分/次</w:t>
            </w:r>
          </w:p>
        </w:tc>
      </w:tr>
      <w:tr>
        <w:tblPrEx>
          <w:tblCellMar>
            <w:top w:w="0" w:type="dxa"/>
            <w:left w:w="108" w:type="dxa"/>
            <w:bottom w:w="0" w:type="dxa"/>
            <w:right w:w="108" w:type="dxa"/>
          </w:tblCellMar>
        </w:tblPrEx>
        <w:trPr>
          <w:trHeight w:val="106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US" w:eastAsia="zh-CN"/>
              </w:rPr>
              <w:t>1</w:t>
            </w:r>
          </w:p>
        </w:tc>
        <w:tc>
          <w:tcPr>
            <w:tcW w:w="1140"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w:t>
            </w:r>
            <w:r>
              <w:rPr>
                <w:rFonts w:hint="default" w:ascii="Times New Roman" w:hAnsi="Times New Roman" w:eastAsia="方正仿宋_GBK" w:cs="Times New Roman"/>
                <w:color w:val="auto"/>
                <w:sz w:val="28"/>
                <w:szCs w:val="28"/>
                <w:highlight w:val="none"/>
                <w:lang w:eastAsia="zh-CN"/>
              </w:rPr>
              <w:t>省级</w:t>
            </w:r>
            <w:r>
              <w:rPr>
                <w:rFonts w:hint="default" w:ascii="Times New Roman" w:hAnsi="Times New Roman" w:eastAsia="方正仿宋_GBK" w:cs="Times New Roman"/>
                <w:color w:val="auto"/>
                <w:sz w:val="28"/>
                <w:szCs w:val="28"/>
                <w:highlight w:val="none"/>
              </w:rPr>
              <w:t>住房城乡建设</w:t>
            </w:r>
            <w:r>
              <w:rPr>
                <w:rFonts w:hint="default" w:ascii="Times New Roman" w:hAnsi="Times New Roman" w:eastAsia="方正仿宋_GBK" w:cs="Times New Roman"/>
                <w:color w:val="auto"/>
                <w:sz w:val="28"/>
                <w:szCs w:val="28"/>
                <w:highlight w:val="none"/>
                <w:lang w:eastAsia="zh-CN"/>
              </w:rPr>
              <w:t>主管部门</w:t>
            </w:r>
            <w:r>
              <w:rPr>
                <w:rFonts w:hint="default" w:ascii="Times New Roman" w:hAnsi="Times New Roman" w:eastAsia="方正仿宋_GBK" w:cs="Times New Roman"/>
                <w:color w:val="auto"/>
                <w:sz w:val="28"/>
                <w:szCs w:val="28"/>
                <w:highlight w:val="none"/>
              </w:rPr>
              <w:t>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25分/次</w:t>
            </w:r>
          </w:p>
        </w:tc>
      </w:tr>
      <w:tr>
        <w:tblPrEx>
          <w:tblCellMar>
            <w:top w:w="0" w:type="dxa"/>
            <w:left w:w="108" w:type="dxa"/>
            <w:bottom w:w="0" w:type="dxa"/>
            <w:right w:w="108" w:type="dxa"/>
          </w:tblCellMar>
        </w:tblPrEx>
        <w:trPr>
          <w:trHeight w:val="1210" w:hRule="atLeast"/>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US" w:eastAsia="zh-CN"/>
              </w:rPr>
              <w:t>2</w:t>
            </w:r>
          </w:p>
        </w:tc>
        <w:tc>
          <w:tcPr>
            <w:tcW w:w="1140"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p>
        </w:tc>
        <w:tc>
          <w:tcPr>
            <w:tcW w:w="53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除上述所列，受到市（县）住房城乡建设主管部门或城市管理综合执法部门行政处罚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20分/次</w:t>
            </w:r>
          </w:p>
        </w:tc>
      </w:tr>
    </w:tbl>
    <w:p>
      <w:pPr>
        <w:keepNext w:val="0"/>
        <w:keepLines w:val="0"/>
        <w:widowControl/>
        <w:suppressLineNumbers w:val="0"/>
        <w:jc w:val="center"/>
        <w:rPr>
          <w:rFonts w:hint="default" w:ascii="方正小标宋_GBK" w:hAnsi="方正小标宋_GBK" w:eastAsia="方正小标宋_GBK" w:cs="方正小标宋_GBK"/>
          <w:i w:val="0"/>
          <w:caps w:val="0"/>
          <w:color w:val="auto"/>
          <w:spacing w:val="0"/>
          <w:kern w:val="2"/>
          <w:sz w:val="36"/>
          <w:szCs w:val="36"/>
          <w:highlight w:val="none"/>
          <w:shd w:val="clear" w:color="auto" w:fill="auto"/>
          <w:lang w:val="en-US" w:eastAsia="zh-CN" w:bidi="ar"/>
        </w:rPr>
      </w:pPr>
      <w:r>
        <w:rPr>
          <w:rFonts w:hint="eastAsia" w:ascii="方正小标宋_GBK" w:hAnsi="方正小标宋_GBK" w:eastAsia="方正小标宋_GBK" w:cs="方正小标宋_GBK"/>
          <w:bCs w:val="0"/>
          <w:color w:val="auto"/>
          <w:sz w:val="36"/>
          <w:szCs w:val="36"/>
          <w:highlight w:val="none"/>
          <w:lang w:val="en-US" w:eastAsia="zh-CN"/>
        </w:rPr>
        <w:t>注册造价工程师</w:t>
      </w:r>
      <w:r>
        <w:rPr>
          <w:rFonts w:hint="eastAsia" w:ascii="方正小标宋_GBK" w:hAnsi="方正小标宋_GBK" w:eastAsia="方正小标宋_GBK" w:cs="方正小标宋_GBK"/>
          <w:bCs w:val="0"/>
          <w:color w:val="auto"/>
          <w:sz w:val="36"/>
          <w:szCs w:val="36"/>
          <w:highlight w:val="none"/>
          <w:lang w:val="en" w:eastAsia="zh-CN"/>
        </w:rPr>
        <w:t>诚信评价内容及</w:t>
      </w:r>
      <w:r>
        <w:rPr>
          <w:rFonts w:hint="eastAsia" w:ascii="方正小标宋_GBK" w:hAnsi="方正小标宋_GBK" w:eastAsia="方正小标宋_GBK" w:cs="方正小标宋_GBK"/>
          <w:bCs w:val="0"/>
          <w:color w:val="auto"/>
          <w:sz w:val="36"/>
          <w:szCs w:val="36"/>
          <w:highlight w:val="none"/>
          <w:lang w:val="en-US" w:eastAsia="zh-CN"/>
        </w:rPr>
        <w:t>评分标准</w:t>
      </w:r>
    </w:p>
    <w:tbl>
      <w:tblPr>
        <w:tblStyle w:val="5"/>
        <w:tblW w:w="0" w:type="auto"/>
        <w:tblInd w:w="91" w:type="dxa"/>
        <w:tblLayout w:type="fixed"/>
        <w:tblCellMar>
          <w:top w:w="0" w:type="dxa"/>
          <w:left w:w="108" w:type="dxa"/>
          <w:bottom w:w="0" w:type="dxa"/>
          <w:right w:w="108" w:type="dxa"/>
        </w:tblCellMar>
      </w:tblPr>
      <w:tblGrid>
        <w:gridCol w:w="704"/>
        <w:gridCol w:w="594"/>
        <w:gridCol w:w="1140"/>
        <w:gridCol w:w="3734"/>
        <w:gridCol w:w="3148"/>
      </w:tblGrid>
      <w:tr>
        <w:tblPrEx>
          <w:tblCellMar>
            <w:top w:w="0" w:type="dxa"/>
            <w:left w:w="108" w:type="dxa"/>
            <w:bottom w:w="0" w:type="dxa"/>
            <w:right w:w="108" w:type="dxa"/>
          </w:tblCellMar>
        </w:tblPrEx>
        <w:trPr>
          <w:trHeight w:val="839"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序号</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评价</w:t>
            </w:r>
          </w:p>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内容</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评分标准</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减分标准</w:t>
            </w:r>
          </w:p>
        </w:tc>
      </w:tr>
      <w:tr>
        <w:tblPrEx>
          <w:tblCellMar>
            <w:top w:w="0" w:type="dxa"/>
            <w:left w:w="108" w:type="dxa"/>
            <w:bottom w:w="0" w:type="dxa"/>
            <w:right w:w="108" w:type="dxa"/>
          </w:tblCellMar>
        </w:tblPrEx>
        <w:trPr>
          <w:trHeight w:val="1338" w:hRule="atLeast"/>
        </w:trPr>
        <w:tc>
          <w:tcPr>
            <w:tcW w:w="704"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lang w:eastAsia="zh-CN"/>
              </w:rPr>
              <w:t>个人</w:t>
            </w:r>
            <w:r>
              <w:rPr>
                <w:rFonts w:hint="default" w:ascii="Times New Roman" w:hAnsi="Times New Roman" w:eastAsia="方正仿宋_GBK" w:cs="Times New Roman"/>
                <w:b/>
                <w:bCs/>
                <w:color w:val="auto"/>
                <w:kern w:val="2"/>
                <w:sz w:val="28"/>
                <w:szCs w:val="28"/>
                <w:highlight w:val="none"/>
              </w:rPr>
              <w:t>不良信息</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3</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成果文件质量控制</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相同口径下，项目建议书阶段建设项目投资估算的综合误差率超过15%</w:t>
            </w:r>
            <w:r>
              <w:rPr>
                <w:rFonts w:hint="eastAsia" w:ascii="Times New Roman" w:hAnsi="Times New Roman" w:eastAsia="方正仿宋_GBK" w:cs="Times New Roman"/>
                <w:color w:val="auto"/>
                <w:kern w:val="2"/>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综合</w:t>
            </w:r>
            <w:r>
              <w:rPr>
                <w:rFonts w:hint="default" w:ascii="Times New Roman" w:hAnsi="Times New Roman" w:eastAsia="方正仿宋_GBK" w:cs="Times New Roman"/>
                <w:color w:val="auto"/>
                <w:kern w:val="2"/>
                <w:sz w:val="28"/>
                <w:szCs w:val="28"/>
                <w:highlight w:val="none"/>
              </w:rPr>
              <w:t>误差率A：</w:t>
            </w:r>
          </w:p>
          <w:p>
            <w:pPr>
              <w:widowControl/>
              <w:spacing w:line="36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①</w:t>
            </w:r>
            <w:r>
              <w:rPr>
                <w:rFonts w:hint="default" w:ascii="Times New Roman" w:hAnsi="Times New Roman" w:eastAsia="方正仿宋_GBK" w:cs="Times New Roman"/>
                <w:color w:val="auto"/>
                <w:kern w:val="2"/>
                <w:sz w:val="28"/>
                <w:szCs w:val="28"/>
                <w:highlight w:val="none"/>
              </w:rPr>
              <w:t>15%≤A&lt;20%减</w:t>
            </w:r>
            <w:r>
              <w:rPr>
                <w:rFonts w:hint="default" w:ascii="Times New Roman" w:hAnsi="Times New Roman" w:eastAsia="方正仿宋_GBK" w:cs="Times New Roman"/>
                <w:color w:val="auto"/>
                <w:kern w:val="2"/>
                <w:sz w:val="28"/>
                <w:szCs w:val="28"/>
                <w:highlight w:val="none"/>
                <w:lang w:val="en-US" w:eastAsia="zh-CN"/>
              </w:rPr>
              <w:t>3</w:t>
            </w:r>
            <w:r>
              <w:rPr>
                <w:rFonts w:hint="default" w:ascii="Times New Roman" w:hAnsi="Times New Roman" w:eastAsia="方正仿宋_GBK" w:cs="Times New Roman"/>
                <w:color w:val="auto"/>
                <w:kern w:val="2"/>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②20%</w:t>
            </w:r>
            <w:r>
              <w:rPr>
                <w:rFonts w:hint="default" w:ascii="Times New Roman" w:hAnsi="Times New Roman" w:eastAsia="方正仿宋_GBK" w:cs="Times New Roman"/>
                <w:color w:val="auto"/>
                <w:kern w:val="2"/>
                <w:sz w:val="28"/>
                <w:szCs w:val="28"/>
                <w:highlight w:val="none"/>
              </w:rPr>
              <w:t>≤A&lt;</w:t>
            </w:r>
            <w:r>
              <w:rPr>
                <w:rFonts w:hint="default" w:ascii="Times New Roman" w:hAnsi="Times New Roman" w:eastAsia="方正仿宋_GBK" w:cs="Times New Roman"/>
                <w:color w:val="auto"/>
                <w:sz w:val="28"/>
                <w:szCs w:val="28"/>
                <w:highlight w:val="none"/>
              </w:rPr>
              <w:t>25%减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w:t>
            </w:r>
            <w:r>
              <w:rPr>
                <w:rFonts w:hint="default" w:ascii="Times New Roman" w:hAnsi="Times New Roman" w:eastAsia="方正仿宋_GBK" w:cs="Times New Roman"/>
                <w:color w:val="auto"/>
                <w:kern w:val="2"/>
                <w:sz w:val="28"/>
                <w:szCs w:val="28"/>
                <w:highlight w:val="none"/>
              </w:rPr>
              <w:t>A≥</w:t>
            </w:r>
            <w:r>
              <w:rPr>
                <w:rFonts w:hint="default" w:ascii="Times New Roman" w:hAnsi="Times New Roman" w:eastAsia="方正仿宋_GBK" w:cs="Times New Roman"/>
                <w:color w:val="auto"/>
                <w:sz w:val="28"/>
                <w:szCs w:val="28"/>
                <w:highlight w:val="none"/>
              </w:rPr>
              <w:t>25%减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08"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4</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相同口径下，可行性研究阶段建设项目投资估算的综合误差率超过10%</w:t>
            </w:r>
            <w:r>
              <w:rPr>
                <w:rFonts w:hint="eastAsia" w:ascii="Times New Roman" w:hAnsi="Times New Roman" w:eastAsia="方正仿宋_GBK" w:cs="Times New Roman"/>
                <w:color w:val="auto"/>
                <w:kern w:val="2"/>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①10%</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A&lt;15%减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②15%</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A&lt;20%减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20%减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378"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5</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相同口径下，建设项目的初步设计阶段设计概算的综合误差率超过6%</w:t>
            </w:r>
            <w:r>
              <w:rPr>
                <w:rFonts w:hint="eastAsia" w:ascii="Times New Roman" w:hAnsi="Times New Roman" w:eastAsia="方正仿宋_GBK" w:cs="Times New Roman"/>
                <w:color w:val="auto"/>
                <w:kern w:val="2"/>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①6%≤A&lt;10%减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52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6</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w:t>
            </w:r>
            <w:r>
              <w:rPr>
                <w:rFonts w:hint="default" w:ascii="Times New Roman" w:hAnsi="Times New Roman" w:eastAsia="方正仿宋_GBK" w:cs="Times New Roman"/>
                <w:color w:val="auto"/>
                <w:sz w:val="28"/>
                <w:szCs w:val="28"/>
                <w:highlight w:val="none"/>
              </w:rPr>
              <w:t>在同一成果文件中，施工图预算的综合误差率超过5%</w:t>
            </w:r>
            <w:r>
              <w:rPr>
                <w:rFonts w:hint="eastAsia" w:ascii="Times New Roman" w:hAnsi="Times New Roman" w:eastAsia="方正仿宋_GBK" w:cs="Times New Roman"/>
                <w:color w:val="auto"/>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①5%≤A&lt;10%减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655"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17</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相同口径下，</w:t>
            </w:r>
            <w:r>
              <w:rPr>
                <w:rFonts w:hint="default" w:ascii="Times New Roman" w:hAnsi="Times New Roman" w:eastAsia="方正仿宋_GBK" w:cs="Times New Roman"/>
                <w:color w:val="auto"/>
                <w:sz w:val="28"/>
                <w:szCs w:val="28"/>
                <w:highlight w:val="none"/>
                <w:lang w:eastAsia="zh-CN"/>
              </w:rPr>
              <w:t>在</w:t>
            </w:r>
            <w:r>
              <w:rPr>
                <w:rFonts w:hint="default" w:ascii="Times New Roman" w:hAnsi="Times New Roman" w:eastAsia="方正仿宋_GBK" w:cs="Times New Roman"/>
                <w:color w:val="auto"/>
                <w:sz w:val="28"/>
                <w:szCs w:val="28"/>
                <w:highlight w:val="none"/>
              </w:rPr>
              <w:t>同一成果文件</w:t>
            </w:r>
            <w:r>
              <w:rPr>
                <w:rFonts w:hint="default" w:ascii="Times New Roman" w:hAnsi="Times New Roman" w:eastAsia="方正仿宋_GBK" w:cs="Times New Roman"/>
                <w:color w:val="auto"/>
                <w:sz w:val="28"/>
                <w:szCs w:val="28"/>
                <w:highlight w:val="none"/>
                <w:lang w:eastAsia="zh-CN"/>
              </w:rPr>
              <w:t>中</w:t>
            </w:r>
            <w:r>
              <w:rPr>
                <w:rFonts w:hint="default" w:ascii="Times New Roman" w:hAnsi="Times New Roman" w:eastAsia="方正仿宋_GBK" w:cs="Times New Roman"/>
                <w:color w:val="auto"/>
                <w:sz w:val="28"/>
                <w:szCs w:val="28"/>
                <w:highlight w:val="none"/>
              </w:rPr>
              <w:t>，竣工结算审查结果的综合误差率超过3%</w:t>
            </w:r>
            <w:r>
              <w:rPr>
                <w:rFonts w:hint="eastAsia" w:ascii="Times New Roman" w:hAnsi="Times New Roman" w:eastAsia="方正仿宋_GBK" w:cs="Times New Roman"/>
                <w:color w:val="auto"/>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①3%≤A&lt;8%减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②8%≤A&lt;13%减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③A≥13%减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570" w:hRule="atLeast"/>
        </w:trPr>
        <w:tc>
          <w:tcPr>
            <w:tcW w:w="704"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18</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全过程造价咨询业务中，相同口径下，工程计量与支付审核报告的综合误差率超过5%</w:t>
            </w:r>
            <w:r>
              <w:rPr>
                <w:rFonts w:hint="eastAsia" w:ascii="Times New Roman" w:hAnsi="Times New Roman" w:eastAsia="方正仿宋_GBK" w:cs="Times New Roman"/>
                <w:color w:val="auto"/>
                <w:kern w:val="2"/>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①5%≤A&lt;10%减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513" w:hRule="atLeast"/>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19</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kern w:val="2"/>
                <w:sz w:val="28"/>
                <w:szCs w:val="28"/>
                <w:highlight w:val="none"/>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全过程造价咨询业务中，相同口径下，合同价款调整成果文件的综合误差率超过3%</w:t>
            </w:r>
            <w:r>
              <w:rPr>
                <w:rFonts w:hint="eastAsia" w:ascii="Times New Roman" w:hAnsi="Times New Roman" w:eastAsia="方正仿宋_GBK" w:cs="Times New Roman"/>
                <w:color w:val="auto"/>
                <w:kern w:val="2"/>
                <w:sz w:val="28"/>
                <w:szCs w:val="28"/>
                <w:highlight w:val="none"/>
                <w:lang w:eastAsia="zh-CN"/>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①3%≤A&lt;8%减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②8%≤A&lt;13%减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③A≥13%减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bl>
    <w:p>
      <w:pPr>
        <w:pStyle w:val="2"/>
        <w:rPr>
          <w:rFonts w:hint="eastAsia" w:ascii="方正小标宋_GBK" w:eastAsia="方正小标宋_GBK"/>
          <w:sz w:val="32"/>
          <w:szCs w:val="32"/>
        </w:rPr>
        <w:sectPr>
          <w:footerReference r:id="rId3" w:type="default"/>
          <w:pgSz w:w="11906" w:h="16838"/>
          <w:pgMar w:top="1928" w:right="1418" w:bottom="1928" w:left="1418" w:header="851" w:footer="1531" w:gutter="0"/>
          <w:pgNumType w:fmt="decimal"/>
          <w:cols w:space="720" w:num="1"/>
          <w:rtlGutter w:val="0"/>
          <w:docGrid w:type="lines" w:linePitch="408" w:charSpace="0"/>
        </w:sectPr>
      </w:pPr>
    </w:p>
    <w:p>
      <w:pPr>
        <w:pStyle w:val="2"/>
        <w:rPr>
          <w:rFonts w:hint="eastAsia" w:ascii="方正小标宋_GBK" w:eastAsia="方正小标宋_GBK"/>
          <w:sz w:val="32"/>
          <w:szCs w:val="32"/>
        </w:rPr>
      </w:pPr>
    </w:p>
    <w:p>
      <w:bookmarkStart w:id="0" w:name="_GoBack"/>
      <w:bookmarkEnd w:id="0"/>
    </w:p>
    <w:sectPr>
      <w:pgSz w:w="11906" w:h="16838"/>
      <w:pgMar w:top="2098" w:right="1587" w:bottom="1757" w:left="158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ind w:left="210" w:leftChars="100" w:right="210" w:rightChars="100"/>
      <w:jc w:val="both"/>
      <w:rPr>
        <w:rStyle w:val="7"/>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adjustRightInd w:val="0"/>
                            <w:ind w:left="210" w:leftChars="100" w:right="210" w:rightChars="100"/>
                            <w:jc w:val="both"/>
                          </w:pPr>
                          <w:r>
                            <w:rPr>
                              <w:rStyle w:val="7"/>
                              <w:rFonts w:hint="eastAsia"/>
                              <w:sz w:val="28"/>
                              <w:szCs w:val="28"/>
                            </w:rPr>
                            <w:t>—</w:t>
                          </w:r>
                          <w:r>
                            <w:rPr>
                              <w:rStyle w:val="7"/>
                              <w:rFonts w:hint="eastAsia"/>
                              <w:spacing w:val="-20"/>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spacing w:val="-20"/>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adjustRightInd w:val="0"/>
                      <w:ind w:left="210" w:leftChars="100" w:right="210" w:rightChars="100"/>
                      <w:jc w:val="both"/>
                    </w:pPr>
                    <w:r>
                      <w:rPr>
                        <w:rStyle w:val="7"/>
                        <w:rFonts w:hint="eastAsia"/>
                        <w:sz w:val="28"/>
                        <w:szCs w:val="28"/>
                      </w:rPr>
                      <w:t>—</w:t>
                    </w:r>
                    <w:r>
                      <w:rPr>
                        <w:rStyle w:val="7"/>
                        <w:rFonts w:hint="eastAsia"/>
                        <w:spacing w:val="-20"/>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spacing w:val="-20"/>
                        <w:sz w:val="28"/>
                        <w:szCs w:val="28"/>
                      </w:rPr>
                      <w:t xml:space="preserve"> </w:t>
                    </w:r>
                    <w:r>
                      <w:rPr>
                        <w:rStyle w:val="7"/>
                        <w:rFonts w:hint="eastAsia"/>
                        <w:sz w:val="28"/>
                        <w:szCs w:val="28"/>
                      </w:rPr>
                      <w:t>—</w:t>
                    </w:r>
                  </w:p>
                </w:txbxContent>
              </v:textbox>
            </v:shape>
          </w:pict>
        </mc:Fallback>
      </mc:AlternateContent>
    </w:r>
  </w:p>
  <w:p>
    <w:pPr>
      <w:pStyle w:val="4"/>
      <w:adjustRightInd w:val="0"/>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WY2YzdmYjg5ZmJhYTE4MjkyZTkwYjljZDZiNDcifQ=="/>
  </w:docVars>
  <w:rsids>
    <w:rsidRoot w:val="61410E69"/>
    <w:rsid w:val="096B303A"/>
    <w:rsid w:val="223067CD"/>
    <w:rsid w:val="2A37166F"/>
    <w:rsid w:val="2B3B7993"/>
    <w:rsid w:val="61410E69"/>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uppressAutoHyphens/>
      <w:bidi w:val="0"/>
      <w:ind w:left="220"/>
    </w:pPr>
    <w:rPr>
      <w:rFonts w:ascii="宋体" w:hAnsi="宋体" w:eastAsia="宋体" w:cs="宋体"/>
      <w:color w:val="auto"/>
      <w:sz w:val="24"/>
      <w:szCs w:val="24"/>
      <w:lang w:eastAsia="en-US" w:bidi="en-US"/>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character" w:styleId="7">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2024-04-23T10:05:00Z</dcterms:created>
  <dc:creator>欧m</dc:creator>
  <cp:lastModifiedBy>欧m</cp:lastModifiedBy>
  <dcterms:modified xsi:type="dcterms:W3CDTF">2024-04-23T10:06:18Z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BA0EF856AEED4F9996E4FE180A324505_11</vt:lpwstr>
  </property>
</Properties>
</file>