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F7363">
      <w:pPr>
        <w:keepNext w:val="0"/>
        <w:keepLines w:val="0"/>
        <w:pageBreakBefore w:val="0"/>
        <w:widowControl w:val="0"/>
        <w:suppressLineNumbers w:val="0"/>
        <w:kinsoku/>
        <w:wordWrap/>
        <w:overflowPunct/>
        <w:topLinePunct w:val="0"/>
        <w:autoSpaceDE/>
        <w:autoSpaceDN/>
        <w:bidi w:val="0"/>
        <w:adjustRightInd w:val="0"/>
        <w:snapToGrid w:val="0"/>
        <w:spacing w:line="590" w:lineRule="exact"/>
        <w:jc w:val="both"/>
        <w:textAlignment w:val="auto"/>
        <w:rPr>
          <w:rFonts w:hint="eastAsia" w:ascii="方正黑体_GBK" w:hAnsi="方正黑体_GBK" w:eastAsia="方正黑体_GBK" w:cs="方正黑体_GBK"/>
          <w:b w:val="0"/>
          <w:bCs w:val="0"/>
          <w:i w:val="0"/>
          <w:snapToGrid w:val="0"/>
          <w:color w:val="auto"/>
          <w:kern w:val="21"/>
          <w:sz w:val="32"/>
          <w:szCs w:val="32"/>
          <w:u w:val="none"/>
          <w:lang w:val="en-US" w:eastAsia="zh-CN" w:bidi="ar"/>
        </w:rPr>
      </w:pPr>
      <w:bookmarkStart w:id="0" w:name="_GoBack"/>
      <w:r>
        <w:rPr>
          <w:rFonts w:hint="eastAsia" w:ascii="方正黑体_GBK" w:hAnsi="方正黑体_GBK" w:eastAsia="方正黑体_GBK" w:cs="方正黑体_GBK"/>
          <w:b w:val="0"/>
          <w:bCs w:val="0"/>
          <w:i w:val="0"/>
          <w:snapToGrid w:val="0"/>
          <w:color w:val="auto"/>
          <w:kern w:val="21"/>
          <w:sz w:val="32"/>
          <w:szCs w:val="32"/>
          <w:u w:val="none"/>
          <w:lang w:val="en-US" w:eastAsia="zh-CN" w:bidi="ar"/>
        </w:rPr>
        <w:t>附件1</w:t>
      </w:r>
    </w:p>
    <w:p w14:paraId="1FBB4D3E">
      <w:pPr>
        <w:keepNext w:val="0"/>
        <w:keepLines w:val="0"/>
        <w:pageBreakBefore w:val="0"/>
        <w:widowControl w:val="0"/>
        <w:suppressLineNumbers w:val="0"/>
        <w:kinsoku/>
        <w:wordWrap/>
        <w:overflowPunct/>
        <w:topLinePunct w:val="0"/>
        <w:autoSpaceDE/>
        <w:autoSpaceDN/>
        <w:bidi w:val="0"/>
        <w:adjustRightInd w:val="0"/>
        <w:snapToGrid w:val="0"/>
        <w:spacing w:line="590" w:lineRule="exact"/>
        <w:jc w:val="both"/>
        <w:textAlignment w:val="auto"/>
        <w:rPr>
          <w:rFonts w:hint="eastAsia" w:ascii="Times New Roman" w:hAnsi="Times New Roman" w:eastAsia="方正仿宋_GBK" w:cs="方正仿宋_GBK"/>
          <w:b w:val="0"/>
          <w:bCs w:val="0"/>
          <w:i w:val="0"/>
          <w:snapToGrid w:val="0"/>
          <w:color w:val="auto"/>
          <w:kern w:val="21"/>
          <w:sz w:val="32"/>
          <w:szCs w:val="32"/>
          <w:u w:val="none"/>
          <w:lang w:val="en-US" w:eastAsia="zh-CN" w:bidi="ar"/>
        </w:rPr>
      </w:pPr>
    </w:p>
    <w:p w14:paraId="75C67498">
      <w:pPr>
        <w:keepNext w:val="0"/>
        <w:keepLines w:val="0"/>
        <w:pageBreakBefore w:val="0"/>
        <w:widowControl w:val="0"/>
        <w:suppressLineNumbers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b w:val="0"/>
          <w:bCs w:val="0"/>
          <w:i w:val="0"/>
          <w:snapToGrid w:val="0"/>
          <w:color w:val="auto"/>
          <w:kern w:val="21"/>
          <w:sz w:val="44"/>
          <w:szCs w:val="44"/>
          <w:u w:val="none"/>
          <w:lang w:val="en-US" w:eastAsia="zh-CN" w:bidi="ar"/>
        </w:rPr>
      </w:pPr>
      <w:r>
        <w:rPr>
          <w:rFonts w:hint="eastAsia" w:ascii="方正小标宋简体" w:hAnsi="方正小标宋简体" w:eastAsia="方正小标宋简体" w:cs="方正小标宋简体"/>
          <w:b w:val="0"/>
          <w:bCs w:val="0"/>
          <w:i w:val="0"/>
          <w:snapToGrid w:val="0"/>
          <w:color w:val="auto"/>
          <w:kern w:val="21"/>
          <w:sz w:val="44"/>
          <w:szCs w:val="44"/>
          <w:u w:val="none"/>
          <w:lang w:val="en-US" w:eastAsia="zh-CN" w:bidi="ar"/>
        </w:rPr>
        <w:t>2025年广西市场化营商环境建设任务清单</w:t>
      </w:r>
      <w:bookmarkEnd w:id="0"/>
    </w:p>
    <w:p w14:paraId="7CBB1EC0">
      <w:pPr>
        <w:keepNext w:val="0"/>
        <w:keepLines w:val="0"/>
        <w:pageBreakBefore w:val="0"/>
        <w:widowControl w:val="0"/>
        <w:suppressLineNumbers w:val="0"/>
        <w:kinsoku/>
        <w:wordWrap/>
        <w:overflowPunct/>
        <w:topLinePunct w:val="0"/>
        <w:autoSpaceDE/>
        <w:autoSpaceDN/>
        <w:bidi w:val="0"/>
        <w:adjustRightInd w:val="0"/>
        <w:snapToGrid w:val="0"/>
        <w:spacing w:line="590" w:lineRule="exact"/>
        <w:jc w:val="both"/>
        <w:textAlignment w:val="auto"/>
        <w:rPr>
          <w:rFonts w:hint="eastAsia" w:ascii="Times New Roman" w:hAnsi="Times New Roman" w:eastAsia="方正仿宋_GBK" w:cs="方正仿宋_GBK"/>
          <w:b w:val="0"/>
          <w:bCs w:val="0"/>
          <w:i w:val="0"/>
          <w:snapToGrid w:val="0"/>
          <w:color w:val="auto"/>
          <w:kern w:val="21"/>
          <w:sz w:val="32"/>
          <w:szCs w:val="32"/>
          <w:u w:val="none"/>
          <w:lang w:val="en-US" w:eastAsia="zh-CN" w:bidi="ar"/>
        </w:rPr>
      </w:pPr>
    </w:p>
    <w:tbl>
      <w:tblPr>
        <w:tblStyle w:val="6"/>
        <w:tblW w:w="13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1171"/>
        <w:gridCol w:w="2271"/>
        <w:gridCol w:w="4429"/>
        <w:gridCol w:w="2254"/>
        <w:gridCol w:w="2329"/>
      </w:tblGrid>
      <w:tr w14:paraId="51852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2" w:type="dxa"/>
            <w:tcBorders>
              <w:tl2br w:val="nil"/>
              <w:tr2bl w:val="nil"/>
            </w:tcBorders>
            <w:noWrap w:val="0"/>
            <w:tcMar>
              <w:top w:w="28" w:type="dxa"/>
              <w:left w:w="28" w:type="dxa"/>
              <w:bottom w:w="28" w:type="dxa"/>
              <w:right w:w="28" w:type="dxa"/>
            </w:tcMar>
            <w:vAlign w:val="center"/>
          </w:tcPr>
          <w:p w14:paraId="32F73B7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序号</w:t>
            </w:r>
          </w:p>
        </w:tc>
        <w:tc>
          <w:tcPr>
            <w:tcW w:w="1171" w:type="dxa"/>
            <w:tcBorders>
              <w:tl2br w:val="nil"/>
              <w:tr2bl w:val="nil"/>
            </w:tcBorders>
            <w:noWrap w:val="0"/>
            <w:tcMar>
              <w:top w:w="28" w:type="dxa"/>
              <w:left w:w="28" w:type="dxa"/>
              <w:bottom w:w="28" w:type="dxa"/>
              <w:right w:w="28" w:type="dxa"/>
            </w:tcMar>
            <w:vAlign w:val="center"/>
          </w:tcPr>
          <w:p w14:paraId="2B888EB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指标</w:t>
            </w:r>
          </w:p>
        </w:tc>
        <w:tc>
          <w:tcPr>
            <w:tcW w:w="2271" w:type="dxa"/>
            <w:tcBorders>
              <w:tl2br w:val="nil"/>
              <w:tr2bl w:val="nil"/>
            </w:tcBorders>
            <w:noWrap w:val="0"/>
            <w:tcMar>
              <w:top w:w="28" w:type="dxa"/>
              <w:left w:w="28" w:type="dxa"/>
              <w:bottom w:w="28" w:type="dxa"/>
              <w:right w:w="28" w:type="dxa"/>
            </w:tcMar>
            <w:vAlign w:val="center"/>
          </w:tcPr>
          <w:p w14:paraId="235C43C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改革方向</w:t>
            </w:r>
          </w:p>
        </w:tc>
        <w:tc>
          <w:tcPr>
            <w:tcW w:w="4429" w:type="dxa"/>
            <w:tcBorders>
              <w:tl2br w:val="nil"/>
              <w:tr2bl w:val="nil"/>
            </w:tcBorders>
            <w:noWrap w:val="0"/>
            <w:tcMar>
              <w:top w:w="28" w:type="dxa"/>
              <w:left w:w="28" w:type="dxa"/>
              <w:bottom w:w="28" w:type="dxa"/>
              <w:right w:w="28" w:type="dxa"/>
            </w:tcMar>
            <w:vAlign w:val="center"/>
          </w:tcPr>
          <w:p w14:paraId="4BC1C75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任务举措</w:t>
            </w:r>
          </w:p>
        </w:tc>
        <w:tc>
          <w:tcPr>
            <w:tcW w:w="2254" w:type="dxa"/>
            <w:tcBorders>
              <w:tl2br w:val="nil"/>
              <w:tr2bl w:val="nil"/>
            </w:tcBorders>
            <w:noWrap w:val="0"/>
            <w:tcMar>
              <w:top w:w="28" w:type="dxa"/>
              <w:left w:w="28" w:type="dxa"/>
              <w:bottom w:w="28" w:type="dxa"/>
              <w:right w:w="28" w:type="dxa"/>
            </w:tcMar>
            <w:vAlign w:val="center"/>
          </w:tcPr>
          <w:p w14:paraId="008BB33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牵头单位</w:t>
            </w:r>
          </w:p>
        </w:tc>
        <w:tc>
          <w:tcPr>
            <w:tcW w:w="2329" w:type="dxa"/>
            <w:tcBorders>
              <w:tl2br w:val="nil"/>
              <w:tr2bl w:val="nil"/>
            </w:tcBorders>
            <w:noWrap w:val="0"/>
            <w:tcMar>
              <w:top w:w="28" w:type="dxa"/>
              <w:left w:w="28" w:type="dxa"/>
              <w:bottom w:w="28" w:type="dxa"/>
              <w:right w:w="28" w:type="dxa"/>
            </w:tcMar>
            <w:vAlign w:val="center"/>
          </w:tcPr>
          <w:p w14:paraId="034D6E2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配合单位</w:t>
            </w:r>
          </w:p>
        </w:tc>
      </w:tr>
      <w:tr w14:paraId="6DCDC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jc w:val="center"/>
        </w:trPr>
        <w:tc>
          <w:tcPr>
            <w:tcW w:w="642" w:type="dxa"/>
            <w:tcBorders>
              <w:tl2br w:val="nil"/>
              <w:tr2bl w:val="nil"/>
            </w:tcBorders>
            <w:noWrap w:val="0"/>
            <w:tcMar>
              <w:top w:w="28" w:type="dxa"/>
              <w:left w:w="28" w:type="dxa"/>
              <w:bottom w:w="28" w:type="dxa"/>
              <w:right w:w="28" w:type="dxa"/>
            </w:tcMar>
            <w:vAlign w:val="center"/>
          </w:tcPr>
          <w:p w14:paraId="26EC4EF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w:t>
            </w:r>
          </w:p>
        </w:tc>
        <w:tc>
          <w:tcPr>
            <w:tcW w:w="1171" w:type="dxa"/>
            <w:vMerge w:val="restart"/>
            <w:tcBorders>
              <w:tl2br w:val="nil"/>
              <w:tr2bl w:val="nil"/>
            </w:tcBorders>
            <w:noWrap w:val="0"/>
            <w:tcMar>
              <w:top w:w="28" w:type="dxa"/>
              <w:left w:w="28" w:type="dxa"/>
              <w:bottom w:w="28" w:type="dxa"/>
              <w:right w:w="28" w:type="dxa"/>
            </w:tcMar>
            <w:vAlign w:val="center"/>
          </w:tcPr>
          <w:p w14:paraId="048842A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加快完善市场准入制度</w:t>
            </w:r>
          </w:p>
        </w:tc>
        <w:tc>
          <w:tcPr>
            <w:tcW w:w="2271" w:type="dxa"/>
            <w:tcBorders>
              <w:tl2br w:val="nil"/>
              <w:tr2bl w:val="nil"/>
            </w:tcBorders>
            <w:noWrap w:val="0"/>
            <w:tcMar>
              <w:top w:w="28" w:type="dxa"/>
              <w:left w:w="28" w:type="dxa"/>
              <w:bottom w:w="28" w:type="dxa"/>
              <w:right w:w="28" w:type="dxa"/>
            </w:tcMar>
            <w:vAlign w:val="center"/>
          </w:tcPr>
          <w:p w14:paraId="04A7551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落实市场准入负面清单</w:t>
            </w:r>
          </w:p>
        </w:tc>
        <w:tc>
          <w:tcPr>
            <w:tcW w:w="4429" w:type="dxa"/>
            <w:tcBorders>
              <w:tl2br w:val="nil"/>
              <w:tr2bl w:val="nil"/>
            </w:tcBorders>
            <w:noWrap w:val="0"/>
            <w:tcMar>
              <w:top w:w="28" w:type="dxa"/>
              <w:left w:w="28" w:type="dxa"/>
              <w:bottom w:w="28" w:type="dxa"/>
              <w:right w:w="28" w:type="dxa"/>
            </w:tcMar>
            <w:vAlign w:val="center"/>
          </w:tcPr>
          <w:p w14:paraId="16CE339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严格落实全国统一的市场准入负面清单制度，各类经营主体可依法平等进入清单之外的行业、领域、业务。有序放宽服务业准入限制，优化新业态新领域市场准入环境。推动市场准入相关中介服务事项网上公开办理。开展市场准入效能评估试点。</w:t>
            </w:r>
          </w:p>
        </w:tc>
        <w:tc>
          <w:tcPr>
            <w:tcW w:w="2254" w:type="dxa"/>
            <w:tcBorders>
              <w:tl2br w:val="nil"/>
              <w:tr2bl w:val="nil"/>
            </w:tcBorders>
            <w:noWrap w:val="0"/>
            <w:tcMar>
              <w:top w:w="28" w:type="dxa"/>
              <w:left w:w="28" w:type="dxa"/>
              <w:bottom w:w="28" w:type="dxa"/>
              <w:right w:w="28" w:type="dxa"/>
            </w:tcMar>
            <w:vAlign w:val="center"/>
          </w:tcPr>
          <w:p w14:paraId="0B73061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w:t>
            </w:r>
          </w:p>
        </w:tc>
        <w:tc>
          <w:tcPr>
            <w:tcW w:w="2329" w:type="dxa"/>
            <w:tcBorders>
              <w:tl2br w:val="nil"/>
              <w:tr2bl w:val="nil"/>
            </w:tcBorders>
            <w:noWrap w:val="0"/>
            <w:tcMar>
              <w:top w:w="28" w:type="dxa"/>
              <w:left w:w="28" w:type="dxa"/>
              <w:bottom w:w="28" w:type="dxa"/>
              <w:right w:w="28" w:type="dxa"/>
            </w:tcMar>
            <w:vAlign w:val="center"/>
          </w:tcPr>
          <w:p w14:paraId="265CE29C">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21904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jc w:val="center"/>
        </w:trPr>
        <w:tc>
          <w:tcPr>
            <w:tcW w:w="642" w:type="dxa"/>
            <w:tcBorders>
              <w:tl2br w:val="nil"/>
              <w:tr2bl w:val="nil"/>
            </w:tcBorders>
            <w:noWrap w:val="0"/>
            <w:tcMar>
              <w:top w:w="28" w:type="dxa"/>
              <w:left w:w="28" w:type="dxa"/>
              <w:bottom w:w="28" w:type="dxa"/>
              <w:right w:w="28" w:type="dxa"/>
            </w:tcMar>
            <w:vAlign w:val="center"/>
          </w:tcPr>
          <w:p w14:paraId="12D0E05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w:t>
            </w:r>
          </w:p>
        </w:tc>
        <w:tc>
          <w:tcPr>
            <w:tcW w:w="1171" w:type="dxa"/>
            <w:vMerge w:val="continue"/>
            <w:tcBorders>
              <w:tl2br w:val="nil"/>
              <w:tr2bl w:val="nil"/>
            </w:tcBorders>
            <w:noWrap w:val="0"/>
            <w:tcMar>
              <w:top w:w="28" w:type="dxa"/>
              <w:left w:w="28" w:type="dxa"/>
              <w:bottom w:w="28" w:type="dxa"/>
              <w:right w:w="28" w:type="dxa"/>
            </w:tcMar>
            <w:vAlign w:val="center"/>
          </w:tcPr>
          <w:p w14:paraId="47AABA5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0BE4679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提高经营主体退出便利水平</w:t>
            </w:r>
          </w:p>
        </w:tc>
        <w:tc>
          <w:tcPr>
            <w:tcW w:w="4429" w:type="dxa"/>
            <w:tcBorders>
              <w:tl2br w:val="nil"/>
              <w:tr2bl w:val="nil"/>
            </w:tcBorders>
            <w:noWrap w:val="0"/>
            <w:tcMar>
              <w:top w:w="28" w:type="dxa"/>
              <w:left w:w="28" w:type="dxa"/>
              <w:bottom w:w="28" w:type="dxa"/>
              <w:right w:w="28" w:type="dxa"/>
            </w:tcMar>
            <w:vAlign w:val="center"/>
          </w:tcPr>
          <w:p w14:paraId="7D48E18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持续推进经营主体准入退出规范化、便利化改革。</w:t>
            </w:r>
          </w:p>
        </w:tc>
        <w:tc>
          <w:tcPr>
            <w:tcW w:w="2254" w:type="dxa"/>
            <w:tcBorders>
              <w:tl2br w:val="nil"/>
              <w:tr2bl w:val="nil"/>
            </w:tcBorders>
            <w:noWrap w:val="0"/>
            <w:tcMar>
              <w:top w:w="28" w:type="dxa"/>
              <w:left w:w="28" w:type="dxa"/>
              <w:bottom w:w="28" w:type="dxa"/>
              <w:right w:w="28" w:type="dxa"/>
            </w:tcMar>
            <w:vAlign w:val="center"/>
          </w:tcPr>
          <w:p w14:paraId="1E20A7B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w:t>
            </w:r>
          </w:p>
        </w:tc>
        <w:tc>
          <w:tcPr>
            <w:tcW w:w="2329" w:type="dxa"/>
            <w:tcBorders>
              <w:tl2br w:val="nil"/>
              <w:tr2bl w:val="nil"/>
            </w:tcBorders>
            <w:noWrap w:val="0"/>
            <w:tcMar>
              <w:top w:w="28" w:type="dxa"/>
              <w:left w:w="28" w:type="dxa"/>
              <w:bottom w:w="28" w:type="dxa"/>
              <w:right w:w="28" w:type="dxa"/>
            </w:tcMar>
            <w:vAlign w:val="center"/>
          </w:tcPr>
          <w:p w14:paraId="37372B7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5C7F4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jc w:val="center"/>
        </w:trPr>
        <w:tc>
          <w:tcPr>
            <w:tcW w:w="642" w:type="dxa"/>
            <w:tcBorders>
              <w:tl2br w:val="nil"/>
              <w:tr2bl w:val="nil"/>
            </w:tcBorders>
            <w:noWrap w:val="0"/>
            <w:tcMar>
              <w:top w:w="28" w:type="dxa"/>
              <w:left w:w="28" w:type="dxa"/>
              <w:bottom w:w="28" w:type="dxa"/>
              <w:right w:w="28" w:type="dxa"/>
            </w:tcMar>
            <w:vAlign w:val="center"/>
          </w:tcPr>
          <w:p w14:paraId="5ACFA84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w:t>
            </w:r>
          </w:p>
        </w:tc>
        <w:tc>
          <w:tcPr>
            <w:tcW w:w="1171" w:type="dxa"/>
            <w:vMerge w:val="continue"/>
            <w:tcBorders>
              <w:tl2br w:val="nil"/>
              <w:tr2bl w:val="nil"/>
            </w:tcBorders>
            <w:noWrap w:val="0"/>
            <w:tcMar>
              <w:top w:w="28" w:type="dxa"/>
              <w:left w:w="28" w:type="dxa"/>
              <w:bottom w:w="28" w:type="dxa"/>
              <w:right w:w="28" w:type="dxa"/>
            </w:tcMar>
            <w:vAlign w:val="center"/>
          </w:tcPr>
          <w:p w14:paraId="11087FE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5F9BBBA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深化市场监管准入改革</w:t>
            </w:r>
          </w:p>
        </w:tc>
        <w:tc>
          <w:tcPr>
            <w:tcW w:w="4429" w:type="dxa"/>
            <w:tcBorders>
              <w:tl2br w:val="nil"/>
              <w:tr2bl w:val="nil"/>
            </w:tcBorders>
            <w:noWrap w:val="0"/>
            <w:tcMar>
              <w:top w:w="28" w:type="dxa"/>
              <w:left w:w="28" w:type="dxa"/>
              <w:bottom w:w="28" w:type="dxa"/>
              <w:right w:w="28" w:type="dxa"/>
            </w:tcMar>
            <w:vAlign w:val="center"/>
          </w:tcPr>
          <w:p w14:paraId="04149F8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推进市场监管领域准入一体化改革，实现市场监管部门相关审批事项“一次登录、一次提交、一窗办理”。</w:t>
            </w:r>
          </w:p>
        </w:tc>
        <w:tc>
          <w:tcPr>
            <w:tcW w:w="2254" w:type="dxa"/>
            <w:tcBorders>
              <w:tl2br w:val="nil"/>
              <w:tr2bl w:val="nil"/>
            </w:tcBorders>
            <w:noWrap w:val="0"/>
            <w:tcMar>
              <w:top w:w="28" w:type="dxa"/>
              <w:left w:w="28" w:type="dxa"/>
              <w:bottom w:w="28" w:type="dxa"/>
              <w:right w:w="28" w:type="dxa"/>
            </w:tcMar>
            <w:vAlign w:val="center"/>
          </w:tcPr>
          <w:p w14:paraId="62D93EA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w:t>
            </w:r>
          </w:p>
        </w:tc>
        <w:tc>
          <w:tcPr>
            <w:tcW w:w="2329" w:type="dxa"/>
            <w:tcBorders>
              <w:tl2br w:val="nil"/>
              <w:tr2bl w:val="nil"/>
            </w:tcBorders>
            <w:noWrap w:val="0"/>
            <w:tcMar>
              <w:top w:w="28" w:type="dxa"/>
              <w:left w:w="28" w:type="dxa"/>
              <w:bottom w:w="28" w:type="dxa"/>
              <w:right w:w="28" w:type="dxa"/>
            </w:tcMar>
            <w:vAlign w:val="center"/>
          </w:tcPr>
          <w:p w14:paraId="6B30351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6E4F5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1" w:hRule="atLeast"/>
          <w:jc w:val="center"/>
        </w:trPr>
        <w:tc>
          <w:tcPr>
            <w:tcW w:w="642" w:type="dxa"/>
            <w:tcBorders>
              <w:tl2br w:val="nil"/>
              <w:tr2bl w:val="nil"/>
            </w:tcBorders>
            <w:noWrap w:val="0"/>
            <w:tcMar>
              <w:top w:w="28" w:type="dxa"/>
              <w:left w:w="28" w:type="dxa"/>
              <w:bottom w:w="28" w:type="dxa"/>
              <w:right w:w="28" w:type="dxa"/>
            </w:tcMar>
            <w:vAlign w:val="center"/>
          </w:tcPr>
          <w:p w14:paraId="2C0AE93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w:t>
            </w:r>
          </w:p>
        </w:tc>
        <w:tc>
          <w:tcPr>
            <w:tcW w:w="1171" w:type="dxa"/>
            <w:vMerge w:val="restart"/>
            <w:tcBorders>
              <w:tl2br w:val="nil"/>
              <w:tr2bl w:val="nil"/>
            </w:tcBorders>
            <w:noWrap w:val="0"/>
            <w:tcMar>
              <w:top w:w="28" w:type="dxa"/>
              <w:left w:w="28" w:type="dxa"/>
              <w:bottom w:w="28" w:type="dxa"/>
              <w:right w:w="28" w:type="dxa"/>
            </w:tcMar>
            <w:vAlign w:val="center"/>
          </w:tcPr>
          <w:p w14:paraId="0B8C2AC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强化公用基础设施服务</w:t>
            </w:r>
          </w:p>
        </w:tc>
        <w:tc>
          <w:tcPr>
            <w:tcW w:w="2271" w:type="dxa"/>
            <w:tcBorders>
              <w:tl2br w:val="nil"/>
              <w:tr2bl w:val="nil"/>
            </w:tcBorders>
            <w:noWrap w:val="0"/>
            <w:tcMar>
              <w:top w:w="28" w:type="dxa"/>
              <w:left w:w="28" w:type="dxa"/>
              <w:bottom w:w="28" w:type="dxa"/>
              <w:right w:w="28" w:type="dxa"/>
            </w:tcMar>
            <w:vAlign w:val="center"/>
          </w:tcPr>
          <w:p w14:paraId="5DD5597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强化公用基础设施服务</w:t>
            </w:r>
          </w:p>
        </w:tc>
        <w:tc>
          <w:tcPr>
            <w:tcW w:w="4429" w:type="dxa"/>
            <w:tcBorders>
              <w:tl2br w:val="nil"/>
              <w:tr2bl w:val="nil"/>
            </w:tcBorders>
            <w:noWrap w:val="0"/>
            <w:tcMar>
              <w:top w:w="28" w:type="dxa"/>
              <w:left w:w="28" w:type="dxa"/>
              <w:bottom w:w="28" w:type="dxa"/>
              <w:right w:w="28" w:type="dxa"/>
            </w:tcMar>
            <w:vAlign w:val="center"/>
          </w:tcPr>
          <w:p w14:paraId="3339B94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探索实施市政公用基础设施“六联办”（联合报装、联合踏勘、联合检验、联合账单、联合缴费、联合过户），探索联合外线工程审批、联合能效评价。</w:t>
            </w:r>
          </w:p>
        </w:tc>
        <w:tc>
          <w:tcPr>
            <w:tcW w:w="2254" w:type="dxa"/>
            <w:tcBorders>
              <w:tl2br w:val="nil"/>
              <w:tr2bl w:val="nil"/>
            </w:tcBorders>
            <w:noWrap w:val="0"/>
            <w:tcMar>
              <w:top w:w="28" w:type="dxa"/>
              <w:left w:w="28" w:type="dxa"/>
              <w:bottom w:w="28" w:type="dxa"/>
              <w:right w:w="28" w:type="dxa"/>
            </w:tcMar>
            <w:vAlign w:val="center"/>
          </w:tcPr>
          <w:p w14:paraId="317E483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自治区住房城乡建设厅，广西通信管理局，各市、县人民政府</w:t>
            </w:r>
          </w:p>
        </w:tc>
        <w:tc>
          <w:tcPr>
            <w:tcW w:w="2329" w:type="dxa"/>
            <w:tcBorders>
              <w:tl2br w:val="nil"/>
              <w:tr2bl w:val="nil"/>
            </w:tcBorders>
            <w:noWrap w:val="0"/>
            <w:tcMar>
              <w:top w:w="28" w:type="dxa"/>
              <w:left w:w="28" w:type="dxa"/>
              <w:bottom w:w="28" w:type="dxa"/>
              <w:right w:w="28" w:type="dxa"/>
            </w:tcMar>
            <w:vAlign w:val="center"/>
          </w:tcPr>
          <w:p w14:paraId="2EC49AC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p>
        </w:tc>
      </w:tr>
      <w:tr w14:paraId="57A0B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7" w:hRule="atLeast"/>
          <w:jc w:val="center"/>
        </w:trPr>
        <w:tc>
          <w:tcPr>
            <w:tcW w:w="642" w:type="dxa"/>
            <w:tcBorders>
              <w:tl2br w:val="nil"/>
              <w:tr2bl w:val="nil"/>
            </w:tcBorders>
            <w:noWrap w:val="0"/>
            <w:tcMar>
              <w:top w:w="28" w:type="dxa"/>
              <w:left w:w="28" w:type="dxa"/>
              <w:bottom w:w="28" w:type="dxa"/>
              <w:right w:w="28" w:type="dxa"/>
            </w:tcMar>
            <w:vAlign w:val="center"/>
          </w:tcPr>
          <w:p w14:paraId="134D8C6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w:t>
            </w:r>
          </w:p>
        </w:tc>
        <w:tc>
          <w:tcPr>
            <w:tcW w:w="1171" w:type="dxa"/>
            <w:vMerge w:val="continue"/>
            <w:tcBorders>
              <w:tl2br w:val="nil"/>
              <w:tr2bl w:val="nil"/>
            </w:tcBorders>
            <w:noWrap w:val="0"/>
            <w:tcMar>
              <w:top w:w="28" w:type="dxa"/>
              <w:left w:w="28" w:type="dxa"/>
              <w:bottom w:w="28" w:type="dxa"/>
              <w:right w:w="28" w:type="dxa"/>
            </w:tcMar>
            <w:vAlign w:val="center"/>
          </w:tcPr>
          <w:p w14:paraId="20D9B95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40B26E6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推动施工图豁免审查</w:t>
            </w:r>
          </w:p>
        </w:tc>
        <w:tc>
          <w:tcPr>
            <w:tcW w:w="4429" w:type="dxa"/>
            <w:tcBorders>
              <w:tl2br w:val="nil"/>
              <w:tr2bl w:val="nil"/>
            </w:tcBorders>
            <w:noWrap w:val="0"/>
            <w:tcMar>
              <w:top w:w="28" w:type="dxa"/>
              <w:left w:w="28" w:type="dxa"/>
              <w:bottom w:w="28" w:type="dxa"/>
              <w:right w:w="28" w:type="dxa"/>
            </w:tcMar>
            <w:vAlign w:val="center"/>
          </w:tcPr>
          <w:p w14:paraId="73C4158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继续执行《自治区住房城乡建设厅、自治区财政厅关于公布免于施工图设计文件审查项目类型清单的通知》（桂建设〔2021〕2号）有关规定，对总建筑面积不大于10000平方米、建筑高度不大于24米，功能单一、技术要求简单的标准厂房、普通仓库等社会投资低风险产业类项目，跨度小于6米、楼盖无动荷载的3层以下的钢筋混凝土结构多层厂房或仓库（甲、乙、丙类厂房或仓库除外），设计规模小于5万立方米/日的小型给水、排水泵站工程以及抢险救灾的临时性房屋建筑和市政基础设施工程项目实行施工图审查豁免。</w:t>
            </w:r>
          </w:p>
        </w:tc>
        <w:tc>
          <w:tcPr>
            <w:tcW w:w="2254" w:type="dxa"/>
            <w:tcBorders>
              <w:tl2br w:val="nil"/>
              <w:tr2bl w:val="nil"/>
            </w:tcBorders>
            <w:noWrap w:val="0"/>
            <w:tcMar>
              <w:top w:w="28" w:type="dxa"/>
              <w:left w:w="28" w:type="dxa"/>
              <w:bottom w:w="28" w:type="dxa"/>
              <w:right w:w="28" w:type="dxa"/>
            </w:tcMar>
            <w:vAlign w:val="center"/>
          </w:tcPr>
          <w:p w14:paraId="7CFD6D1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自治区住房城乡建设厅，各市、县人民政府</w:t>
            </w:r>
          </w:p>
        </w:tc>
        <w:tc>
          <w:tcPr>
            <w:tcW w:w="2329" w:type="dxa"/>
            <w:tcBorders>
              <w:tl2br w:val="nil"/>
              <w:tr2bl w:val="nil"/>
            </w:tcBorders>
            <w:noWrap w:val="0"/>
            <w:tcMar>
              <w:top w:w="28" w:type="dxa"/>
              <w:left w:w="28" w:type="dxa"/>
              <w:bottom w:w="28" w:type="dxa"/>
              <w:right w:w="28" w:type="dxa"/>
            </w:tcMar>
            <w:vAlign w:val="center"/>
          </w:tcPr>
          <w:p w14:paraId="2A4773E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p>
        </w:tc>
      </w:tr>
      <w:tr w14:paraId="4002A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8" w:hRule="atLeast"/>
          <w:jc w:val="center"/>
        </w:trPr>
        <w:tc>
          <w:tcPr>
            <w:tcW w:w="642" w:type="dxa"/>
            <w:tcBorders>
              <w:tl2br w:val="nil"/>
              <w:tr2bl w:val="nil"/>
            </w:tcBorders>
            <w:noWrap w:val="0"/>
            <w:tcMar>
              <w:top w:w="28" w:type="dxa"/>
              <w:left w:w="28" w:type="dxa"/>
              <w:bottom w:w="28" w:type="dxa"/>
              <w:right w:w="28" w:type="dxa"/>
            </w:tcMar>
            <w:vAlign w:val="center"/>
          </w:tcPr>
          <w:p w14:paraId="2EDAFD7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6</w:t>
            </w:r>
          </w:p>
        </w:tc>
        <w:tc>
          <w:tcPr>
            <w:tcW w:w="1171" w:type="dxa"/>
            <w:vMerge w:val="restart"/>
            <w:tcBorders>
              <w:tl2br w:val="nil"/>
              <w:tr2bl w:val="nil"/>
            </w:tcBorders>
            <w:noWrap w:val="0"/>
            <w:tcMar>
              <w:top w:w="28" w:type="dxa"/>
              <w:left w:w="28" w:type="dxa"/>
              <w:bottom w:w="28" w:type="dxa"/>
              <w:right w:w="28" w:type="dxa"/>
            </w:tcMar>
            <w:vAlign w:val="center"/>
          </w:tcPr>
          <w:p w14:paraId="1CCCAD6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强化公用基础设施服务</w:t>
            </w:r>
          </w:p>
        </w:tc>
        <w:tc>
          <w:tcPr>
            <w:tcW w:w="2271" w:type="dxa"/>
            <w:tcBorders>
              <w:tl2br w:val="nil"/>
              <w:tr2bl w:val="nil"/>
            </w:tcBorders>
            <w:noWrap w:val="0"/>
            <w:tcMar>
              <w:top w:w="28" w:type="dxa"/>
              <w:left w:w="28" w:type="dxa"/>
              <w:bottom w:w="28" w:type="dxa"/>
              <w:right w:w="28" w:type="dxa"/>
            </w:tcMar>
            <w:vAlign w:val="center"/>
          </w:tcPr>
          <w:p w14:paraId="158F990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“分阶段”办理施工许可</w:t>
            </w:r>
          </w:p>
        </w:tc>
        <w:tc>
          <w:tcPr>
            <w:tcW w:w="4429" w:type="dxa"/>
            <w:tcBorders>
              <w:tl2br w:val="nil"/>
              <w:tr2bl w:val="nil"/>
            </w:tcBorders>
            <w:noWrap w:val="0"/>
            <w:tcMar>
              <w:top w:w="28" w:type="dxa"/>
              <w:left w:w="28" w:type="dxa"/>
              <w:bottom w:w="28" w:type="dxa"/>
              <w:right w:w="28" w:type="dxa"/>
            </w:tcMar>
            <w:vAlign w:val="center"/>
          </w:tcPr>
          <w:p w14:paraId="6FA9682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6"/>
                <w:kern w:val="21"/>
                <w:sz w:val="27"/>
                <w:szCs w:val="27"/>
                <w:u w:val="none"/>
                <w:lang w:val="en-US" w:eastAsia="zh-CN" w:bidi="ar"/>
              </w:rPr>
              <w:t>对同一建设工程规划许可涉及多个</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单位工程的工程建设项目，按照单位工</w:t>
            </w:r>
            <w:r>
              <w:rPr>
                <w:rFonts w:hint="eastAsia" w:ascii="Times New Roman" w:hAnsi="Times New Roman" w:eastAsia="方正仿宋_GBK" w:cs="方正仿宋_GBK"/>
                <w:b w:val="0"/>
                <w:bCs w:val="0"/>
                <w:i w:val="0"/>
                <w:snapToGrid w:val="0"/>
                <w:color w:val="auto"/>
                <w:spacing w:val="-6"/>
                <w:kern w:val="21"/>
                <w:sz w:val="27"/>
                <w:szCs w:val="27"/>
                <w:u w:val="none"/>
                <w:lang w:val="en-US" w:eastAsia="zh-CN" w:bidi="ar"/>
              </w:rPr>
              <w:t>程或基坑支护和土方开挖、地基基础、主体工程分阶段办理建筑工程施工许</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可，进一步压缩项目开工审批周期。</w:t>
            </w:r>
          </w:p>
        </w:tc>
        <w:tc>
          <w:tcPr>
            <w:tcW w:w="2254" w:type="dxa"/>
            <w:tcBorders>
              <w:tl2br w:val="nil"/>
              <w:tr2bl w:val="nil"/>
            </w:tcBorders>
            <w:noWrap w:val="0"/>
            <w:tcMar>
              <w:top w:w="28" w:type="dxa"/>
              <w:left w:w="28" w:type="dxa"/>
              <w:bottom w:w="28" w:type="dxa"/>
              <w:right w:w="28" w:type="dxa"/>
            </w:tcMar>
            <w:vAlign w:val="center"/>
          </w:tcPr>
          <w:p w14:paraId="00FE245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自治区住房城乡建设厅，各市、县人民政府</w:t>
            </w:r>
          </w:p>
        </w:tc>
        <w:tc>
          <w:tcPr>
            <w:tcW w:w="2329" w:type="dxa"/>
            <w:tcBorders>
              <w:tl2br w:val="nil"/>
              <w:tr2bl w:val="nil"/>
            </w:tcBorders>
            <w:noWrap w:val="0"/>
            <w:tcMar>
              <w:top w:w="28" w:type="dxa"/>
              <w:left w:w="28" w:type="dxa"/>
              <w:bottom w:w="28" w:type="dxa"/>
              <w:right w:w="28" w:type="dxa"/>
            </w:tcMar>
            <w:vAlign w:val="center"/>
          </w:tcPr>
          <w:p w14:paraId="7EB7197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p>
        </w:tc>
      </w:tr>
      <w:tr w14:paraId="51B26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10A366E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7</w:t>
            </w:r>
          </w:p>
        </w:tc>
        <w:tc>
          <w:tcPr>
            <w:tcW w:w="1171" w:type="dxa"/>
            <w:vMerge w:val="continue"/>
            <w:tcBorders>
              <w:tl2br w:val="nil"/>
              <w:tr2bl w:val="nil"/>
            </w:tcBorders>
            <w:noWrap w:val="0"/>
            <w:tcMar>
              <w:top w:w="28" w:type="dxa"/>
              <w:left w:w="28" w:type="dxa"/>
              <w:bottom w:w="28" w:type="dxa"/>
              <w:right w:w="28" w:type="dxa"/>
            </w:tcMar>
            <w:vAlign w:val="center"/>
          </w:tcPr>
          <w:p w14:paraId="4F41910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74C658D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实施“一枚印章管挖占”</w:t>
            </w:r>
          </w:p>
        </w:tc>
        <w:tc>
          <w:tcPr>
            <w:tcW w:w="4429" w:type="dxa"/>
            <w:tcBorders>
              <w:tl2br w:val="nil"/>
              <w:tr2bl w:val="nil"/>
            </w:tcBorders>
            <w:noWrap w:val="0"/>
            <w:tcMar>
              <w:top w:w="28" w:type="dxa"/>
              <w:left w:w="28" w:type="dxa"/>
              <w:bottom w:w="28" w:type="dxa"/>
              <w:right w:w="28" w:type="dxa"/>
            </w:tcMar>
            <w:vAlign w:val="center"/>
          </w:tcPr>
          <w:p w14:paraId="349CFE2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除可实行告知承诺制审批事项外，所有占用挖掘城市道路及绿化审批事项，按照“一表申请、并联审批、同步办理”模式，在3个工作日内办结。</w:t>
            </w:r>
          </w:p>
        </w:tc>
        <w:tc>
          <w:tcPr>
            <w:tcW w:w="2254" w:type="dxa"/>
            <w:tcBorders>
              <w:tl2br w:val="nil"/>
              <w:tr2bl w:val="nil"/>
            </w:tcBorders>
            <w:noWrap w:val="0"/>
            <w:tcMar>
              <w:top w:w="28" w:type="dxa"/>
              <w:left w:w="28" w:type="dxa"/>
              <w:bottom w:w="28" w:type="dxa"/>
              <w:right w:w="28" w:type="dxa"/>
            </w:tcMar>
            <w:vAlign w:val="center"/>
          </w:tcPr>
          <w:p w14:paraId="7BDE147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自治区住房城乡建设厅，各市、县人民政府</w:t>
            </w:r>
          </w:p>
        </w:tc>
        <w:tc>
          <w:tcPr>
            <w:tcW w:w="2329" w:type="dxa"/>
            <w:tcBorders>
              <w:tl2br w:val="nil"/>
              <w:tr2bl w:val="nil"/>
            </w:tcBorders>
            <w:noWrap w:val="0"/>
            <w:tcMar>
              <w:top w:w="28" w:type="dxa"/>
              <w:left w:w="28" w:type="dxa"/>
              <w:bottom w:w="28" w:type="dxa"/>
              <w:right w:w="28" w:type="dxa"/>
            </w:tcMar>
            <w:vAlign w:val="center"/>
          </w:tcPr>
          <w:p w14:paraId="50FD503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p>
        </w:tc>
      </w:tr>
      <w:tr w14:paraId="7DC27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jc w:val="center"/>
        </w:trPr>
        <w:tc>
          <w:tcPr>
            <w:tcW w:w="642" w:type="dxa"/>
            <w:tcBorders>
              <w:tl2br w:val="nil"/>
              <w:tr2bl w:val="nil"/>
            </w:tcBorders>
            <w:noWrap w:val="0"/>
            <w:tcMar>
              <w:top w:w="28" w:type="dxa"/>
              <w:left w:w="28" w:type="dxa"/>
              <w:bottom w:w="28" w:type="dxa"/>
              <w:right w:w="28" w:type="dxa"/>
            </w:tcMar>
            <w:vAlign w:val="center"/>
          </w:tcPr>
          <w:p w14:paraId="5EE4986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8</w:t>
            </w:r>
          </w:p>
        </w:tc>
        <w:tc>
          <w:tcPr>
            <w:tcW w:w="1171" w:type="dxa"/>
            <w:vMerge w:val="continue"/>
            <w:tcBorders>
              <w:tl2br w:val="nil"/>
              <w:tr2bl w:val="nil"/>
            </w:tcBorders>
            <w:noWrap w:val="0"/>
            <w:tcMar>
              <w:top w:w="28" w:type="dxa"/>
              <w:left w:w="28" w:type="dxa"/>
              <w:bottom w:w="28" w:type="dxa"/>
              <w:right w:w="28" w:type="dxa"/>
            </w:tcMar>
            <w:vAlign w:val="center"/>
          </w:tcPr>
          <w:p w14:paraId="18B1A4E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29B0DC8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实行住宅项目单体验收</w:t>
            </w:r>
          </w:p>
        </w:tc>
        <w:tc>
          <w:tcPr>
            <w:tcW w:w="4429" w:type="dxa"/>
            <w:tcBorders>
              <w:tl2br w:val="nil"/>
              <w:tr2bl w:val="nil"/>
            </w:tcBorders>
            <w:noWrap w:val="0"/>
            <w:tcMar>
              <w:top w:w="28" w:type="dxa"/>
              <w:left w:w="28" w:type="dxa"/>
              <w:bottom w:w="28" w:type="dxa"/>
              <w:right w:w="28" w:type="dxa"/>
            </w:tcMar>
            <w:vAlign w:val="center"/>
          </w:tcPr>
          <w:p w14:paraId="37C4775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在符合项目整体质量安全要求、达到安全使用条件的前提下，对已满足使用功能的单体工程，建设单位可以申请单栋联合验收。</w:t>
            </w:r>
          </w:p>
        </w:tc>
        <w:tc>
          <w:tcPr>
            <w:tcW w:w="2254" w:type="dxa"/>
            <w:tcBorders>
              <w:tl2br w:val="nil"/>
              <w:tr2bl w:val="nil"/>
            </w:tcBorders>
            <w:noWrap w:val="0"/>
            <w:tcMar>
              <w:top w:w="28" w:type="dxa"/>
              <w:left w:w="28" w:type="dxa"/>
              <w:bottom w:w="28" w:type="dxa"/>
              <w:right w:w="28" w:type="dxa"/>
            </w:tcMar>
            <w:vAlign w:val="center"/>
          </w:tcPr>
          <w:p w14:paraId="498A016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自治区住房城乡建设厅，各市、县人民政府</w:t>
            </w:r>
          </w:p>
        </w:tc>
        <w:tc>
          <w:tcPr>
            <w:tcW w:w="2329" w:type="dxa"/>
            <w:tcBorders>
              <w:tl2br w:val="nil"/>
              <w:tr2bl w:val="nil"/>
            </w:tcBorders>
            <w:noWrap w:val="0"/>
            <w:tcMar>
              <w:top w:w="28" w:type="dxa"/>
              <w:left w:w="28" w:type="dxa"/>
              <w:bottom w:w="28" w:type="dxa"/>
              <w:right w:w="28" w:type="dxa"/>
            </w:tcMar>
            <w:vAlign w:val="center"/>
          </w:tcPr>
          <w:p w14:paraId="01F4F52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p>
        </w:tc>
      </w:tr>
      <w:tr w14:paraId="1DD37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53D64C3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9</w:t>
            </w:r>
          </w:p>
        </w:tc>
        <w:tc>
          <w:tcPr>
            <w:tcW w:w="1171" w:type="dxa"/>
            <w:vMerge w:val="continue"/>
            <w:tcBorders>
              <w:tl2br w:val="nil"/>
              <w:tr2bl w:val="nil"/>
            </w:tcBorders>
            <w:noWrap w:val="0"/>
            <w:tcMar>
              <w:top w:w="28" w:type="dxa"/>
              <w:left w:w="28" w:type="dxa"/>
              <w:bottom w:w="28" w:type="dxa"/>
              <w:right w:w="28" w:type="dxa"/>
            </w:tcMar>
            <w:vAlign w:val="center"/>
          </w:tcPr>
          <w:p w14:paraId="15E1320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278A23B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探索开展“土地码”应用</w:t>
            </w:r>
          </w:p>
        </w:tc>
        <w:tc>
          <w:tcPr>
            <w:tcW w:w="4429" w:type="dxa"/>
            <w:tcBorders>
              <w:tl2br w:val="nil"/>
              <w:tr2bl w:val="nil"/>
            </w:tcBorders>
            <w:noWrap w:val="0"/>
            <w:tcMar>
              <w:top w:w="28" w:type="dxa"/>
              <w:left w:w="28" w:type="dxa"/>
              <w:bottom w:w="28" w:type="dxa"/>
              <w:right w:w="28" w:type="dxa"/>
            </w:tcMar>
            <w:vAlign w:val="center"/>
          </w:tcPr>
          <w:p w14:paraId="443695F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依托“一码”实现规划用地建设全生命周期管理，通过部门间数据共享减少办证材料、压缩办理时间。深化“码上看地”、“码上查询”等便民利企场景应用，增设土地出让公告、供地计划、用地清单等内容，推进招商引资与规划用地高效衔接。</w:t>
            </w:r>
          </w:p>
        </w:tc>
        <w:tc>
          <w:tcPr>
            <w:tcW w:w="2254" w:type="dxa"/>
            <w:tcBorders>
              <w:tl2br w:val="nil"/>
              <w:tr2bl w:val="nil"/>
            </w:tcBorders>
            <w:noWrap w:val="0"/>
            <w:tcMar>
              <w:top w:w="28" w:type="dxa"/>
              <w:left w:w="28" w:type="dxa"/>
              <w:bottom w:w="28" w:type="dxa"/>
              <w:right w:w="28" w:type="dxa"/>
            </w:tcMar>
            <w:vAlign w:val="center"/>
          </w:tcPr>
          <w:p w14:paraId="52FB4A1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27FB862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0E193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2359D465">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10</w:t>
            </w:r>
          </w:p>
        </w:tc>
        <w:tc>
          <w:tcPr>
            <w:tcW w:w="1171" w:type="dxa"/>
            <w:vMerge w:val="restart"/>
            <w:tcBorders>
              <w:tl2br w:val="nil"/>
              <w:tr2bl w:val="nil"/>
            </w:tcBorders>
            <w:noWrap w:val="0"/>
            <w:tcMar>
              <w:top w:w="28" w:type="dxa"/>
              <w:left w:w="28" w:type="dxa"/>
              <w:bottom w:w="28" w:type="dxa"/>
              <w:right w:w="28" w:type="dxa"/>
            </w:tcMar>
            <w:vAlign w:val="center"/>
          </w:tcPr>
          <w:p w14:paraId="498E7F3F">
            <w:pPr>
              <w:keepNext w:val="0"/>
              <w:keepLines w:val="0"/>
              <w:pageBreakBefore w:val="0"/>
              <w:widowControl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强化公用基础设施服务</w:t>
            </w:r>
          </w:p>
        </w:tc>
        <w:tc>
          <w:tcPr>
            <w:tcW w:w="2271" w:type="dxa"/>
            <w:tcBorders>
              <w:tl2br w:val="nil"/>
              <w:tr2bl w:val="nil"/>
            </w:tcBorders>
            <w:noWrap w:val="0"/>
            <w:tcMar>
              <w:top w:w="28" w:type="dxa"/>
              <w:left w:w="28" w:type="dxa"/>
              <w:bottom w:w="28" w:type="dxa"/>
              <w:right w:w="28" w:type="dxa"/>
            </w:tcMar>
            <w:vAlign w:val="center"/>
          </w:tcPr>
          <w:p w14:paraId="202131A5">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加强获得电力保障</w:t>
            </w:r>
          </w:p>
        </w:tc>
        <w:tc>
          <w:tcPr>
            <w:tcW w:w="4429" w:type="dxa"/>
            <w:tcBorders>
              <w:tl2br w:val="nil"/>
              <w:tr2bl w:val="nil"/>
            </w:tcBorders>
            <w:noWrap w:val="0"/>
            <w:tcMar>
              <w:top w:w="28" w:type="dxa"/>
              <w:left w:w="28" w:type="dxa"/>
              <w:bottom w:w="28" w:type="dxa"/>
              <w:right w:w="28" w:type="dxa"/>
            </w:tcMar>
            <w:vAlign w:val="center"/>
          </w:tcPr>
          <w:p w14:paraId="5EF05DDE">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打造电力服务产业发展标杆，按照不同行业、产业链、链主企业需求，梳理全流程服务接触点，优化缩减用电报装办理时限，区分不同时间节点和用电负荷特性，提供差异化个性化供电方案。</w:t>
            </w:r>
          </w:p>
        </w:tc>
        <w:tc>
          <w:tcPr>
            <w:tcW w:w="2254" w:type="dxa"/>
            <w:tcBorders>
              <w:tl2br w:val="nil"/>
              <w:tr2bl w:val="nil"/>
            </w:tcBorders>
            <w:noWrap w:val="0"/>
            <w:tcMar>
              <w:top w:w="28" w:type="dxa"/>
              <w:left w:w="28" w:type="dxa"/>
              <w:bottom w:w="28" w:type="dxa"/>
              <w:right w:w="28" w:type="dxa"/>
            </w:tcMar>
            <w:vAlign w:val="center"/>
          </w:tcPr>
          <w:p w14:paraId="1D67614A">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广西电网公司，百色电力有限责任公司，广西能源股份有限公司</w:t>
            </w:r>
          </w:p>
        </w:tc>
        <w:tc>
          <w:tcPr>
            <w:tcW w:w="2329" w:type="dxa"/>
            <w:tcBorders>
              <w:tl2br w:val="nil"/>
              <w:tr2bl w:val="nil"/>
            </w:tcBorders>
            <w:noWrap w:val="0"/>
            <w:tcMar>
              <w:top w:w="28" w:type="dxa"/>
              <w:left w:w="28" w:type="dxa"/>
              <w:bottom w:w="28" w:type="dxa"/>
              <w:right w:w="28" w:type="dxa"/>
            </w:tcMar>
            <w:vAlign w:val="center"/>
          </w:tcPr>
          <w:p w14:paraId="7A842897">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自治区能源局，自治区各有关职能部门</w:t>
            </w:r>
          </w:p>
        </w:tc>
      </w:tr>
      <w:tr w14:paraId="5D58F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3522F53C">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11</w:t>
            </w:r>
          </w:p>
        </w:tc>
        <w:tc>
          <w:tcPr>
            <w:tcW w:w="1171" w:type="dxa"/>
            <w:vMerge w:val="continue"/>
            <w:tcBorders>
              <w:tl2br w:val="nil"/>
              <w:tr2bl w:val="nil"/>
            </w:tcBorders>
            <w:noWrap w:val="0"/>
            <w:tcMar>
              <w:top w:w="28" w:type="dxa"/>
              <w:left w:w="28" w:type="dxa"/>
              <w:bottom w:w="28" w:type="dxa"/>
              <w:right w:w="28" w:type="dxa"/>
            </w:tcMar>
            <w:vAlign w:val="center"/>
          </w:tcPr>
          <w:p w14:paraId="367261C6">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3ECD64EA">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优化供水供气服务</w:t>
            </w:r>
          </w:p>
        </w:tc>
        <w:tc>
          <w:tcPr>
            <w:tcW w:w="4429" w:type="dxa"/>
            <w:tcBorders>
              <w:tl2br w:val="nil"/>
              <w:tr2bl w:val="nil"/>
            </w:tcBorders>
            <w:noWrap w:val="0"/>
            <w:tcMar>
              <w:top w:w="28" w:type="dxa"/>
              <w:left w:w="28" w:type="dxa"/>
              <w:bottom w:w="28" w:type="dxa"/>
              <w:right w:w="28" w:type="dxa"/>
            </w:tcMar>
            <w:vAlign w:val="center"/>
          </w:tcPr>
          <w:p w14:paraId="6426C6D5">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进一步提升供水供气服务质量。</w:t>
            </w:r>
          </w:p>
        </w:tc>
        <w:tc>
          <w:tcPr>
            <w:tcW w:w="2254" w:type="dxa"/>
            <w:tcBorders>
              <w:tl2br w:val="nil"/>
              <w:tr2bl w:val="nil"/>
            </w:tcBorders>
            <w:noWrap w:val="0"/>
            <w:tcMar>
              <w:top w:w="28" w:type="dxa"/>
              <w:left w:w="28" w:type="dxa"/>
              <w:bottom w:w="28" w:type="dxa"/>
              <w:right w:w="28" w:type="dxa"/>
            </w:tcMar>
            <w:vAlign w:val="center"/>
          </w:tcPr>
          <w:p w14:paraId="0938E058">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w:t>
            </w:r>
          </w:p>
        </w:tc>
        <w:tc>
          <w:tcPr>
            <w:tcW w:w="2329" w:type="dxa"/>
            <w:tcBorders>
              <w:tl2br w:val="nil"/>
              <w:tr2bl w:val="nil"/>
            </w:tcBorders>
            <w:noWrap w:val="0"/>
            <w:tcMar>
              <w:top w:w="28" w:type="dxa"/>
              <w:left w:w="28" w:type="dxa"/>
              <w:bottom w:w="28" w:type="dxa"/>
              <w:right w:w="28" w:type="dxa"/>
            </w:tcMar>
            <w:vAlign w:val="center"/>
          </w:tcPr>
          <w:p w14:paraId="14AF910E">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75CA1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13E413CB">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12</w:t>
            </w:r>
          </w:p>
        </w:tc>
        <w:tc>
          <w:tcPr>
            <w:tcW w:w="1171" w:type="dxa"/>
            <w:tcBorders>
              <w:tl2br w:val="nil"/>
              <w:tr2bl w:val="nil"/>
            </w:tcBorders>
            <w:noWrap w:val="0"/>
            <w:tcMar>
              <w:top w:w="28" w:type="dxa"/>
              <w:left w:w="28" w:type="dxa"/>
              <w:bottom w:w="28" w:type="dxa"/>
              <w:right w:w="28" w:type="dxa"/>
            </w:tcMar>
            <w:vAlign w:val="center"/>
          </w:tcPr>
          <w:p w14:paraId="2E580D30">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深化公平竞争机制改革</w:t>
            </w:r>
          </w:p>
        </w:tc>
        <w:tc>
          <w:tcPr>
            <w:tcW w:w="2271" w:type="dxa"/>
            <w:tcBorders>
              <w:tl2br w:val="nil"/>
              <w:tr2bl w:val="nil"/>
            </w:tcBorders>
            <w:noWrap w:val="0"/>
            <w:tcMar>
              <w:top w:w="28" w:type="dxa"/>
              <w:left w:w="28" w:type="dxa"/>
              <w:bottom w:w="28" w:type="dxa"/>
              <w:right w:w="28" w:type="dxa"/>
            </w:tcMar>
            <w:vAlign w:val="center"/>
          </w:tcPr>
          <w:p w14:paraId="059B93A6">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加强公平竞争审查</w:t>
            </w:r>
          </w:p>
        </w:tc>
        <w:tc>
          <w:tcPr>
            <w:tcW w:w="4429" w:type="dxa"/>
            <w:tcBorders>
              <w:tl2br w:val="nil"/>
              <w:tr2bl w:val="nil"/>
            </w:tcBorders>
            <w:noWrap w:val="0"/>
            <w:tcMar>
              <w:top w:w="28" w:type="dxa"/>
              <w:left w:w="28" w:type="dxa"/>
              <w:bottom w:w="28" w:type="dxa"/>
              <w:right w:w="28" w:type="dxa"/>
            </w:tcMar>
            <w:vAlign w:val="center"/>
          </w:tcPr>
          <w:p w14:paraId="3F32EF5D">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严格落实《公平竞争审查条例》，加强公平竞争审查刚性约束，强化反垄断和反不正当竞争。及时通报违反公平竞争审查制度、妨碍全国统一大市场建设和公平竞争的典型案例。探索建立“公平竞争指数”指标体系，从市场端、政府端、社会端等三个维度，综合反映区域性公平竞争制度实施、竞争环境和竞争状态的基本情况。探索建立社会公平竞争环境观察员制度，开辟公平竞争社会综合治理新路径，进一步强化公平竞争环境社会监督。探索梳理公平审查操作范式，编印《公平竞争审查实务指南》。</w:t>
            </w:r>
          </w:p>
        </w:tc>
        <w:tc>
          <w:tcPr>
            <w:tcW w:w="2254" w:type="dxa"/>
            <w:tcBorders>
              <w:tl2br w:val="nil"/>
              <w:tr2bl w:val="nil"/>
            </w:tcBorders>
            <w:noWrap w:val="0"/>
            <w:tcMar>
              <w:top w:w="28" w:type="dxa"/>
              <w:left w:w="28" w:type="dxa"/>
              <w:bottom w:w="28" w:type="dxa"/>
              <w:right w:w="28" w:type="dxa"/>
            </w:tcMar>
            <w:vAlign w:val="center"/>
          </w:tcPr>
          <w:p w14:paraId="47949F91">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w:t>
            </w:r>
          </w:p>
        </w:tc>
        <w:tc>
          <w:tcPr>
            <w:tcW w:w="2329" w:type="dxa"/>
            <w:tcBorders>
              <w:tl2br w:val="nil"/>
              <w:tr2bl w:val="nil"/>
            </w:tcBorders>
            <w:noWrap w:val="0"/>
            <w:tcMar>
              <w:top w:w="28" w:type="dxa"/>
              <w:left w:w="28" w:type="dxa"/>
              <w:bottom w:w="28" w:type="dxa"/>
              <w:right w:w="28" w:type="dxa"/>
            </w:tcMar>
            <w:vAlign w:val="center"/>
          </w:tcPr>
          <w:p w14:paraId="402E3E5C">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B14F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1" w:hRule="atLeast"/>
          <w:jc w:val="center"/>
        </w:trPr>
        <w:tc>
          <w:tcPr>
            <w:tcW w:w="642" w:type="dxa"/>
            <w:tcBorders>
              <w:tl2br w:val="nil"/>
              <w:tr2bl w:val="nil"/>
            </w:tcBorders>
            <w:noWrap w:val="0"/>
            <w:tcMar>
              <w:top w:w="28" w:type="dxa"/>
              <w:left w:w="28" w:type="dxa"/>
              <w:bottom w:w="28" w:type="dxa"/>
              <w:right w:w="28" w:type="dxa"/>
            </w:tcMar>
            <w:vAlign w:val="center"/>
          </w:tcPr>
          <w:p w14:paraId="0A612C4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13</w:t>
            </w:r>
          </w:p>
        </w:tc>
        <w:tc>
          <w:tcPr>
            <w:tcW w:w="1171" w:type="dxa"/>
            <w:tcBorders>
              <w:tl2br w:val="nil"/>
              <w:tr2bl w:val="nil"/>
            </w:tcBorders>
            <w:noWrap w:val="0"/>
            <w:tcMar>
              <w:top w:w="28" w:type="dxa"/>
              <w:left w:w="28" w:type="dxa"/>
              <w:bottom w:w="28" w:type="dxa"/>
              <w:right w:w="28" w:type="dxa"/>
            </w:tcMar>
            <w:vAlign w:val="center"/>
          </w:tcPr>
          <w:p w14:paraId="4A1E44F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深化公平竞争机制改革</w:t>
            </w:r>
          </w:p>
        </w:tc>
        <w:tc>
          <w:tcPr>
            <w:tcW w:w="2271" w:type="dxa"/>
            <w:tcBorders>
              <w:tl2br w:val="nil"/>
              <w:tr2bl w:val="nil"/>
            </w:tcBorders>
            <w:noWrap w:val="0"/>
            <w:tcMar>
              <w:top w:w="28" w:type="dxa"/>
              <w:left w:w="28" w:type="dxa"/>
              <w:bottom w:w="28" w:type="dxa"/>
              <w:right w:w="28" w:type="dxa"/>
            </w:tcMar>
            <w:vAlign w:val="center"/>
          </w:tcPr>
          <w:p w14:paraId="1DF32E6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推进公平竞争审查方式技术变革</w:t>
            </w:r>
          </w:p>
        </w:tc>
        <w:tc>
          <w:tcPr>
            <w:tcW w:w="4429" w:type="dxa"/>
            <w:tcBorders>
              <w:tl2br w:val="nil"/>
              <w:tr2bl w:val="nil"/>
            </w:tcBorders>
            <w:noWrap w:val="0"/>
            <w:tcMar>
              <w:top w:w="28" w:type="dxa"/>
              <w:left w:w="28" w:type="dxa"/>
              <w:bottom w:w="28" w:type="dxa"/>
              <w:right w:w="28" w:type="dxa"/>
            </w:tcMar>
            <w:vAlign w:val="center"/>
          </w:tcPr>
          <w:p w14:paraId="3F349A4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运用人工智能、大数据分析等新技术变革公平竞争审查方式，建立公平竞争审查在线监测评估系统，实现自治区、市、县三级政府政策措施全覆盖监测。细化公平竞争的专门性规定。开发上线公平竞争大数据筛查预警系统，利用大数据技术对政府部门官网进行实时监测，形成“筛查预警、发函整改、反馈意见、复核验收”的工作闭环。组建由专家学者、竞争法律师等组成的公平竞争审查专家库，为公平竞争审查提供智力支撑。引入第三方评估，对有关部门、各市县政府及所属部门公平竞争审查制度总体落实情况开展评估，确保审查结果科学、公正。通过全区交叉抽查和第三方定量评估双覆盖，确保审查结果公正性，推动政策制定机关内部审查机制实现100%覆盖。</w:t>
            </w:r>
          </w:p>
        </w:tc>
        <w:tc>
          <w:tcPr>
            <w:tcW w:w="2254" w:type="dxa"/>
            <w:tcBorders>
              <w:tl2br w:val="nil"/>
              <w:tr2bl w:val="nil"/>
            </w:tcBorders>
            <w:noWrap w:val="0"/>
            <w:tcMar>
              <w:top w:w="28" w:type="dxa"/>
              <w:left w:w="28" w:type="dxa"/>
              <w:bottom w:w="28" w:type="dxa"/>
              <w:right w:w="28" w:type="dxa"/>
            </w:tcMar>
            <w:vAlign w:val="center"/>
          </w:tcPr>
          <w:p w14:paraId="7267A9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自治区市场监管局、数据局</w:t>
            </w:r>
          </w:p>
        </w:tc>
        <w:tc>
          <w:tcPr>
            <w:tcW w:w="2329" w:type="dxa"/>
            <w:tcBorders>
              <w:tl2br w:val="nil"/>
              <w:tr2bl w:val="nil"/>
            </w:tcBorders>
            <w:noWrap w:val="0"/>
            <w:tcMar>
              <w:top w:w="28" w:type="dxa"/>
              <w:left w:w="28" w:type="dxa"/>
              <w:bottom w:w="28" w:type="dxa"/>
              <w:right w:w="28" w:type="dxa"/>
            </w:tcMar>
            <w:vAlign w:val="center"/>
          </w:tcPr>
          <w:p w14:paraId="435310D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23A33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7" w:hRule="atLeast"/>
          <w:jc w:val="center"/>
        </w:trPr>
        <w:tc>
          <w:tcPr>
            <w:tcW w:w="642" w:type="dxa"/>
            <w:tcBorders>
              <w:tl2br w:val="nil"/>
              <w:tr2bl w:val="nil"/>
            </w:tcBorders>
            <w:noWrap w:val="0"/>
            <w:tcMar>
              <w:top w:w="28" w:type="dxa"/>
              <w:left w:w="28" w:type="dxa"/>
              <w:bottom w:w="28" w:type="dxa"/>
              <w:right w:w="28" w:type="dxa"/>
            </w:tcMar>
            <w:vAlign w:val="center"/>
          </w:tcPr>
          <w:p w14:paraId="41226CC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14</w:t>
            </w:r>
          </w:p>
        </w:tc>
        <w:tc>
          <w:tcPr>
            <w:tcW w:w="1171" w:type="dxa"/>
            <w:vMerge w:val="restart"/>
            <w:tcBorders>
              <w:tl2br w:val="nil"/>
              <w:tr2bl w:val="nil"/>
            </w:tcBorders>
            <w:noWrap w:val="0"/>
            <w:tcMar>
              <w:top w:w="28" w:type="dxa"/>
              <w:left w:w="28" w:type="dxa"/>
              <w:bottom w:w="28" w:type="dxa"/>
              <w:right w:w="28" w:type="dxa"/>
            </w:tcMar>
            <w:vAlign w:val="center"/>
          </w:tcPr>
          <w:p w14:paraId="7DCB084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深化公平竞争机制改革</w:t>
            </w:r>
          </w:p>
        </w:tc>
        <w:tc>
          <w:tcPr>
            <w:tcW w:w="2271" w:type="dxa"/>
            <w:tcBorders>
              <w:tl2br w:val="nil"/>
              <w:tr2bl w:val="nil"/>
            </w:tcBorders>
            <w:noWrap w:val="0"/>
            <w:tcMar>
              <w:top w:w="28" w:type="dxa"/>
              <w:left w:w="28" w:type="dxa"/>
              <w:bottom w:w="28" w:type="dxa"/>
              <w:right w:w="28" w:type="dxa"/>
            </w:tcMar>
            <w:vAlign w:val="center"/>
          </w:tcPr>
          <w:p w14:paraId="64AEC05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积极转变监管方式</w:t>
            </w:r>
          </w:p>
        </w:tc>
        <w:tc>
          <w:tcPr>
            <w:tcW w:w="4429" w:type="dxa"/>
            <w:tcBorders>
              <w:tl2br w:val="nil"/>
              <w:tr2bl w:val="nil"/>
            </w:tcBorders>
            <w:noWrap w:val="0"/>
            <w:tcMar>
              <w:top w:w="28" w:type="dxa"/>
              <w:left w:w="28" w:type="dxa"/>
              <w:bottom w:w="28" w:type="dxa"/>
              <w:right w:w="28" w:type="dxa"/>
            </w:tcMar>
            <w:vAlign w:val="center"/>
          </w:tcPr>
          <w:p w14:paraId="2E385B1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积极探索预警式监管和企业合规建设，从事后监管向事前防范转变。建设企业赋码保护平台，构建“审批预约、全程监督、评价反馈”的行政执法活动管理闭环。探索使用企业专用“二维码”，行政执法活动扫码预约，上传执法人员信息、检查事由、时间、执法资格和审批凭证，分类告知企业需准备的材料，平台对进企人数、人员身份是否与预约申报信息一致进行比对，受访企业可通过平台对访企活动进行满意度评价。</w:t>
            </w:r>
          </w:p>
        </w:tc>
        <w:tc>
          <w:tcPr>
            <w:tcW w:w="2254" w:type="dxa"/>
            <w:tcBorders>
              <w:tl2br w:val="nil"/>
              <w:tr2bl w:val="nil"/>
            </w:tcBorders>
            <w:noWrap w:val="0"/>
            <w:tcMar>
              <w:top w:w="28" w:type="dxa"/>
              <w:left w:w="28" w:type="dxa"/>
              <w:bottom w:w="28" w:type="dxa"/>
              <w:right w:w="28" w:type="dxa"/>
            </w:tcMar>
            <w:vAlign w:val="center"/>
          </w:tcPr>
          <w:p w14:paraId="21B74DE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自治区司法厅、市场监管局、数据局</w:t>
            </w:r>
          </w:p>
        </w:tc>
        <w:tc>
          <w:tcPr>
            <w:tcW w:w="2329" w:type="dxa"/>
            <w:tcBorders>
              <w:tl2br w:val="nil"/>
              <w:tr2bl w:val="nil"/>
            </w:tcBorders>
            <w:noWrap w:val="0"/>
            <w:tcMar>
              <w:top w:w="28" w:type="dxa"/>
              <w:left w:w="28" w:type="dxa"/>
              <w:bottom w:w="28" w:type="dxa"/>
              <w:right w:w="28" w:type="dxa"/>
            </w:tcMar>
            <w:vAlign w:val="center"/>
          </w:tcPr>
          <w:p w14:paraId="7B50006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w:t>
            </w:r>
          </w:p>
        </w:tc>
      </w:tr>
      <w:tr w14:paraId="4F1A8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7" w:hRule="atLeast"/>
          <w:jc w:val="center"/>
        </w:trPr>
        <w:tc>
          <w:tcPr>
            <w:tcW w:w="642" w:type="dxa"/>
            <w:tcBorders>
              <w:tl2br w:val="nil"/>
              <w:tr2bl w:val="nil"/>
            </w:tcBorders>
            <w:noWrap w:val="0"/>
            <w:tcMar>
              <w:top w:w="28" w:type="dxa"/>
              <w:left w:w="28" w:type="dxa"/>
              <w:bottom w:w="28" w:type="dxa"/>
              <w:right w:w="28" w:type="dxa"/>
            </w:tcMar>
            <w:vAlign w:val="center"/>
          </w:tcPr>
          <w:p w14:paraId="10A4AE4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15</w:t>
            </w:r>
          </w:p>
        </w:tc>
        <w:tc>
          <w:tcPr>
            <w:tcW w:w="1171" w:type="dxa"/>
            <w:vMerge w:val="continue"/>
            <w:tcBorders>
              <w:tl2br w:val="nil"/>
              <w:tr2bl w:val="nil"/>
            </w:tcBorders>
            <w:noWrap w:val="0"/>
            <w:tcMar>
              <w:top w:w="28" w:type="dxa"/>
              <w:left w:w="28" w:type="dxa"/>
              <w:bottom w:w="28" w:type="dxa"/>
              <w:right w:w="28" w:type="dxa"/>
            </w:tcMar>
            <w:vAlign w:val="center"/>
          </w:tcPr>
          <w:p w14:paraId="6219F01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3DFE9B5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强化考评导向作用</w:t>
            </w:r>
          </w:p>
        </w:tc>
        <w:tc>
          <w:tcPr>
            <w:tcW w:w="4429" w:type="dxa"/>
            <w:tcBorders>
              <w:tl2br w:val="nil"/>
              <w:tr2bl w:val="nil"/>
            </w:tcBorders>
            <w:noWrap w:val="0"/>
            <w:tcMar>
              <w:top w:w="28" w:type="dxa"/>
              <w:left w:w="28" w:type="dxa"/>
              <w:bottom w:w="28" w:type="dxa"/>
              <w:right w:w="28" w:type="dxa"/>
            </w:tcMar>
            <w:vAlign w:val="center"/>
          </w:tcPr>
          <w:p w14:paraId="3F89848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将公平竞争审查工作情况纳入优化营商环境考核评价内容。</w:t>
            </w:r>
          </w:p>
        </w:tc>
        <w:tc>
          <w:tcPr>
            <w:tcW w:w="2254" w:type="dxa"/>
            <w:tcBorders>
              <w:tl2br w:val="nil"/>
              <w:tr2bl w:val="nil"/>
            </w:tcBorders>
            <w:noWrap w:val="0"/>
            <w:tcMar>
              <w:top w:w="28" w:type="dxa"/>
              <w:left w:w="28" w:type="dxa"/>
              <w:bottom w:w="28" w:type="dxa"/>
              <w:right w:w="28" w:type="dxa"/>
            </w:tcMar>
            <w:vAlign w:val="center"/>
          </w:tcPr>
          <w:p w14:paraId="1B332BE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w:t>
            </w:r>
          </w:p>
        </w:tc>
        <w:tc>
          <w:tcPr>
            <w:tcW w:w="2329" w:type="dxa"/>
            <w:tcBorders>
              <w:tl2br w:val="nil"/>
              <w:tr2bl w:val="nil"/>
            </w:tcBorders>
            <w:noWrap w:val="0"/>
            <w:tcMar>
              <w:top w:w="28" w:type="dxa"/>
              <w:left w:w="28" w:type="dxa"/>
              <w:bottom w:w="28" w:type="dxa"/>
              <w:right w:w="28" w:type="dxa"/>
            </w:tcMar>
            <w:vAlign w:val="center"/>
          </w:tcPr>
          <w:p w14:paraId="5793AE4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6"/>
                <w:kern w:val="21"/>
                <w:sz w:val="27"/>
                <w:szCs w:val="27"/>
                <w:u w:val="none"/>
                <w:lang w:val="en-US" w:eastAsia="zh-CN" w:bidi="ar"/>
              </w:rPr>
              <w:t>自治区市场监管局，</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7B76E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0A807D52">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16</w:t>
            </w:r>
          </w:p>
        </w:tc>
        <w:tc>
          <w:tcPr>
            <w:tcW w:w="1171" w:type="dxa"/>
            <w:vMerge w:val="restart"/>
            <w:tcBorders>
              <w:tl2br w:val="nil"/>
              <w:tr2bl w:val="nil"/>
            </w:tcBorders>
            <w:noWrap w:val="0"/>
            <w:tcMar>
              <w:top w:w="28" w:type="dxa"/>
              <w:left w:w="28" w:type="dxa"/>
              <w:bottom w:w="28" w:type="dxa"/>
              <w:right w:w="28" w:type="dxa"/>
            </w:tcMar>
            <w:vAlign w:val="center"/>
          </w:tcPr>
          <w:p w14:paraId="69802DB1">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持续提升金融服务效能</w:t>
            </w:r>
          </w:p>
        </w:tc>
        <w:tc>
          <w:tcPr>
            <w:tcW w:w="2271" w:type="dxa"/>
            <w:tcBorders>
              <w:tl2br w:val="nil"/>
              <w:tr2bl w:val="nil"/>
            </w:tcBorders>
            <w:noWrap w:val="0"/>
            <w:tcMar>
              <w:top w:w="28" w:type="dxa"/>
              <w:left w:w="28" w:type="dxa"/>
              <w:bottom w:w="28" w:type="dxa"/>
              <w:right w:w="28" w:type="dxa"/>
            </w:tcMar>
            <w:vAlign w:val="center"/>
          </w:tcPr>
          <w:p w14:paraId="0B99654C">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强化金融服务获得便利性</w:t>
            </w:r>
          </w:p>
        </w:tc>
        <w:tc>
          <w:tcPr>
            <w:tcW w:w="4429" w:type="dxa"/>
            <w:tcBorders>
              <w:tl2br w:val="nil"/>
              <w:tr2bl w:val="nil"/>
            </w:tcBorders>
            <w:noWrap w:val="0"/>
            <w:tcMar>
              <w:top w:w="28" w:type="dxa"/>
              <w:left w:w="28" w:type="dxa"/>
              <w:bottom w:w="28" w:type="dxa"/>
              <w:right w:w="28" w:type="dxa"/>
            </w:tcMar>
            <w:vAlign w:val="center"/>
          </w:tcPr>
          <w:p w14:paraId="08936FCC">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0"/>
                <w:kern w:val="21"/>
                <w:sz w:val="27"/>
                <w:szCs w:val="27"/>
                <w:u w:val="none"/>
                <w:lang w:val="en-US" w:eastAsia="zh-CN" w:bidi="ar"/>
              </w:rPr>
              <w:t>推进政府性融资担保、区域性股权交易市场挂牌、产业基金对接、上市培育等事项“一揽子”服务，提高金融服务获得便利性。综合集成信贷、债券、保险、基金、外汇等金融顾问服</w:t>
            </w:r>
            <w:r>
              <w:rPr>
                <w:rFonts w:hint="eastAsia" w:ascii="Times New Roman" w:hAnsi="Times New Roman" w:eastAsia="方正仿宋_GBK" w:cs="方正仿宋_GBK"/>
                <w:b w:val="0"/>
                <w:bCs w:val="0"/>
                <w:i w:val="0"/>
                <w:snapToGrid w:val="0"/>
                <w:color w:val="auto"/>
                <w:spacing w:val="-6"/>
                <w:kern w:val="21"/>
                <w:sz w:val="27"/>
                <w:szCs w:val="27"/>
                <w:u w:val="none"/>
                <w:lang w:val="en-US" w:eastAsia="zh-CN" w:bidi="ar"/>
              </w:rPr>
              <w:t>务，为企业合理运用政策性和商业性金</w:t>
            </w:r>
            <w:r>
              <w:rPr>
                <w:rFonts w:hint="eastAsia" w:ascii="Times New Roman" w:hAnsi="Times New Roman" w:eastAsia="方正仿宋_GBK" w:cs="方正仿宋_GBK"/>
                <w:b w:val="0"/>
                <w:bCs w:val="0"/>
                <w:i w:val="0"/>
                <w:snapToGrid w:val="0"/>
                <w:color w:val="auto"/>
                <w:spacing w:val="0"/>
                <w:kern w:val="21"/>
                <w:sz w:val="27"/>
                <w:szCs w:val="27"/>
                <w:u w:val="none"/>
                <w:lang w:val="en-US" w:eastAsia="zh-CN" w:bidi="ar"/>
              </w:rPr>
              <w:t>融工具、优化融资结构提供解决方案。</w:t>
            </w:r>
          </w:p>
        </w:tc>
        <w:tc>
          <w:tcPr>
            <w:tcW w:w="2254" w:type="dxa"/>
            <w:tcBorders>
              <w:tl2br w:val="nil"/>
              <w:tr2bl w:val="nil"/>
            </w:tcBorders>
            <w:noWrap w:val="0"/>
            <w:tcMar>
              <w:top w:w="28" w:type="dxa"/>
              <w:left w:w="28" w:type="dxa"/>
              <w:bottom w:w="28" w:type="dxa"/>
              <w:right w:w="28" w:type="dxa"/>
            </w:tcMar>
            <w:vAlign w:val="center"/>
          </w:tcPr>
          <w:p w14:paraId="2B974A6A">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自治区党委金融办</w:t>
            </w:r>
          </w:p>
        </w:tc>
        <w:tc>
          <w:tcPr>
            <w:tcW w:w="2329" w:type="dxa"/>
            <w:tcBorders>
              <w:tl2br w:val="nil"/>
              <w:tr2bl w:val="nil"/>
            </w:tcBorders>
            <w:noWrap w:val="0"/>
            <w:tcMar>
              <w:top w:w="28" w:type="dxa"/>
              <w:left w:w="28" w:type="dxa"/>
              <w:bottom w:w="28" w:type="dxa"/>
              <w:right w:w="28" w:type="dxa"/>
            </w:tcMar>
            <w:vAlign w:val="center"/>
          </w:tcPr>
          <w:p w14:paraId="6438AEA3">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广西金融监管局，中国人民银行广西壮族自治区分行，自治区财政厅，广西证监局</w:t>
            </w:r>
          </w:p>
        </w:tc>
      </w:tr>
      <w:tr w14:paraId="208B8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6596FB98">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17</w:t>
            </w:r>
          </w:p>
        </w:tc>
        <w:tc>
          <w:tcPr>
            <w:tcW w:w="1171" w:type="dxa"/>
            <w:vMerge w:val="continue"/>
            <w:tcBorders>
              <w:tl2br w:val="nil"/>
              <w:tr2bl w:val="nil"/>
            </w:tcBorders>
            <w:noWrap w:val="0"/>
            <w:tcMar>
              <w:top w:w="28" w:type="dxa"/>
              <w:left w:w="28" w:type="dxa"/>
              <w:bottom w:w="28" w:type="dxa"/>
              <w:right w:w="28" w:type="dxa"/>
            </w:tcMar>
            <w:vAlign w:val="center"/>
          </w:tcPr>
          <w:p w14:paraId="1ACE6D0B">
            <w:pPr>
              <w:keepNext w:val="0"/>
              <w:keepLines w:val="0"/>
              <w:pageBreakBefore w:val="0"/>
              <w:widowControl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06925729">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继续实施“桂惠贷”政策</w:t>
            </w:r>
          </w:p>
        </w:tc>
        <w:tc>
          <w:tcPr>
            <w:tcW w:w="4429" w:type="dxa"/>
            <w:tcBorders>
              <w:tl2br w:val="nil"/>
              <w:tr2bl w:val="nil"/>
            </w:tcBorders>
            <w:noWrap w:val="0"/>
            <w:tcMar>
              <w:top w:w="28" w:type="dxa"/>
              <w:left w:w="28" w:type="dxa"/>
              <w:bottom w:w="28" w:type="dxa"/>
              <w:right w:w="28" w:type="dxa"/>
            </w:tcMar>
            <w:vAlign w:val="center"/>
          </w:tcPr>
          <w:p w14:paraId="653D33F2">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深入实施“桂惠贷”接续政策，深化货币政策工具与“桂惠贷”接续政策等财政金融工具协同联动。</w:t>
            </w:r>
          </w:p>
        </w:tc>
        <w:tc>
          <w:tcPr>
            <w:tcW w:w="2254" w:type="dxa"/>
            <w:tcBorders>
              <w:tl2br w:val="nil"/>
              <w:tr2bl w:val="nil"/>
            </w:tcBorders>
            <w:noWrap w:val="0"/>
            <w:tcMar>
              <w:top w:w="28" w:type="dxa"/>
              <w:left w:w="28" w:type="dxa"/>
              <w:bottom w:w="28" w:type="dxa"/>
              <w:right w:w="28" w:type="dxa"/>
            </w:tcMar>
            <w:vAlign w:val="center"/>
          </w:tcPr>
          <w:p w14:paraId="4C9E3A96">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自治区党委金融办</w:t>
            </w:r>
          </w:p>
        </w:tc>
        <w:tc>
          <w:tcPr>
            <w:tcW w:w="2329" w:type="dxa"/>
            <w:tcBorders>
              <w:tl2br w:val="nil"/>
              <w:tr2bl w:val="nil"/>
            </w:tcBorders>
            <w:noWrap w:val="0"/>
            <w:tcMar>
              <w:top w:w="28" w:type="dxa"/>
              <w:left w:w="28" w:type="dxa"/>
              <w:bottom w:w="28" w:type="dxa"/>
              <w:right w:w="28" w:type="dxa"/>
            </w:tcMar>
            <w:vAlign w:val="center"/>
          </w:tcPr>
          <w:p w14:paraId="368CE6BF">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广西金融监管局，中国人民银行广西壮族自治区分行，自治区财政厅</w:t>
            </w:r>
          </w:p>
        </w:tc>
      </w:tr>
      <w:tr w14:paraId="72FD4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7315A2BC">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18</w:t>
            </w:r>
          </w:p>
        </w:tc>
        <w:tc>
          <w:tcPr>
            <w:tcW w:w="1171" w:type="dxa"/>
            <w:vMerge w:val="continue"/>
            <w:tcBorders>
              <w:tl2br w:val="nil"/>
              <w:tr2bl w:val="nil"/>
            </w:tcBorders>
            <w:noWrap w:val="0"/>
            <w:tcMar>
              <w:top w:w="28" w:type="dxa"/>
              <w:left w:w="28" w:type="dxa"/>
              <w:bottom w:w="28" w:type="dxa"/>
              <w:right w:w="28" w:type="dxa"/>
            </w:tcMar>
            <w:vAlign w:val="center"/>
          </w:tcPr>
          <w:p w14:paraId="765105B7">
            <w:pPr>
              <w:keepNext w:val="0"/>
              <w:keepLines w:val="0"/>
              <w:pageBreakBefore w:val="0"/>
              <w:widowControl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4C6BDD66">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highlight w:val="none"/>
                <w:u w:val="none"/>
              </w:rPr>
            </w:pPr>
            <w:r>
              <w:rPr>
                <w:rFonts w:hint="eastAsia" w:ascii="Times New Roman" w:hAnsi="Times New Roman" w:eastAsia="方正仿宋_GBK" w:cs="方正仿宋_GBK"/>
                <w:b w:val="0"/>
                <w:bCs w:val="0"/>
                <w:i w:val="0"/>
                <w:snapToGrid w:val="0"/>
                <w:color w:val="auto"/>
                <w:kern w:val="21"/>
                <w:sz w:val="27"/>
                <w:szCs w:val="27"/>
                <w:highlight w:val="none"/>
                <w:u w:val="none"/>
                <w:lang w:val="en-US" w:eastAsia="zh-CN" w:bidi="ar"/>
              </w:rPr>
              <w:t>提升小微企业金融服务能力</w:t>
            </w:r>
          </w:p>
        </w:tc>
        <w:tc>
          <w:tcPr>
            <w:tcW w:w="4429" w:type="dxa"/>
            <w:tcBorders>
              <w:tl2br w:val="nil"/>
              <w:tr2bl w:val="nil"/>
            </w:tcBorders>
            <w:noWrap w:val="0"/>
            <w:tcMar>
              <w:top w:w="28" w:type="dxa"/>
              <w:left w:w="28" w:type="dxa"/>
              <w:bottom w:w="28" w:type="dxa"/>
              <w:right w:w="28" w:type="dxa"/>
            </w:tcMar>
            <w:vAlign w:val="center"/>
          </w:tcPr>
          <w:p w14:paraId="4761EBFE">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highlight w:val="none"/>
                <w:u w:val="none"/>
              </w:rPr>
            </w:pPr>
            <w:r>
              <w:rPr>
                <w:rFonts w:hint="eastAsia" w:ascii="Times New Roman" w:hAnsi="Times New Roman" w:eastAsia="方正仿宋_GBK" w:cs="方正仿宋_GBK"/>
                <w:b w:val="0"/>
                <w:bCs w:val="0"/>
                <w:i w:val="0"/>
                <w:snapToGrid w:val="0"/>
                <w:color w:val="auto"/>
                <w:kern w:val="21"/>
                <w:sz w:val="27"/>
                <w:szCs w:val="27"/>
                <w:highlight w:val="none"/>
                <w:u w:val="none"/>
                <w:lang w:val="en-US" w:eastAsia="zh-CN" w:bidi="ar"/>
              </w:rPr>
              <w:t>优化商业银行小微企业金融服务监管评价制度，完善小微企业授信尽职免责制度，加大普惠型小微企业贷款投放力度，降低民营小微企业融资成本。加大贷款中介违法违规行为打击力度，缩短融资链条，规范金融市场秩序，实现信贷直达小微企业。持续深化“汇小二”金融服务，推动“汇小</w:t>
            </w:r>
            <w:r>
              <w:rPr>
                <w:rFonts w:hint="eastAsia" w:ascii="Times New Roman" w:hAnsi="Times New Roman" w:eastAsia="方正仿宋_GBK" w:cs="方正仿宋_GBK"/>
                <w:b w:val="0"/>
                <w:bCs w:val="0"/>
                <w:i w:val="0"/>
                <w:snapToGrid w:val="0"/>
                <w:color w:val="auto"/>
                <w:spacing w:val="0"/>
                <w:kern w:val="21"/>
                <w:sz w:val="27"/>
                <w:szCs w:val="27"/>
                <w:highlight w:val="none"/>
                <w:u w:val="none"/>
                <w:lang w:val="en-US" w:eastAsia="zh-CN" w:bidi="ar"/>
              </w:rPr>
              <w:t>二”特色金融服务点提质扩面，致力于打造我区涉外金融服务最优环境。</w:t>
            </w:r>
          </w:p>
        </w:tc>
        <w:tc>
          <w:tcPr>
            <w:tcW w:w="2254" w:type="dxa"/>
            <w:tcBorders>
              <w:tl2br w:val="nil"/>
              <w:tr2bl w:val="nil"/>
            </w:tcBorders>
            <w:noWrap w:val="0"/>
            <w:tcMar>
              <w:top w:w="28" w:type="dxa"/>
              <w:left w:w="28" w:type="dxa"/>
              <w:bottom w:w="28" w:type="dxa"/>
              <w:right w:w="28" w:type="dxa"/>
            </w:tcMar>
            <w:vAlign w:val="center"/>
          </w:tcPr>
          <w:p w14:paraId="5A26416E">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11"/>
                <w:kern w:val="21"/>
                <w:sz w:val="27"/>
                <w:szCs w:val="27"/>
                <w:u w:val="none"/>
                <w:lang w:val="en-US" w:eastAsia="zh-CN" w:bidi="ar"/>
              </w:rPr>
              <w:t>自治区党委金融办，</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中国人民银行广西壮族自治区分行，广西金融监管局</w:t>
            </w:r>
          </w:p>
        </w:tc>
        <w:tc>
          <w:tcPr>
            <w:tcW w:w="2329" w:type="dxa"/>
            <w:tcBorders>
              <w:tl2br w:val="nil"/>
              <w:tr2bl w:val="nil"/>
            </w:tcBorders>
            <w:noWrap w:val="0"/>
            <w:tcMar>
              <w:top w:w="28" w:type="dxa"/>
              <w:left w:w="28" w:type="dxa"/>
              <w:bottom w:w="28" w:type="dxa"/>
              <w:right w:w="28" w:type="dxa"/>
            </w:tcMar>
            <w:vAlign w:val="center"/>
          </w:tcPr>
          <w:p w14:paraId="60726D33">
            <w:pPr>
              <w:keepNext w:val="0"/>
              <w:keepLines w:val="0"/>
              <w:pageBreakBefore w:val="0"/>
              <w:widowControl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p>
        </w:tc>
      </w:tr>
      <w:tr w14:paraId="0B75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jc w:val="center"/>
        </w:trPr>
        <w:tc>
          <w:tcPr>
            <w:tcW w:w="642" w:type="dxa"/>
            <w:tcBorders>
              <w:tl2br w:val="nil"/>
              <w:tr2bl w:val="nil"/>
            </w:tcBorders>
            <w:noWrap w:val="0"/>
            <w:tcMar>
              <w:top w:w="28" w:type="dxa"/>
              <w:left w:w="28" w:type="dxa"/>
              <w:bottom w:w="28" w:type="dxa"/>
              <w:right w:w="28" w:type="dxa"/>
            </w:tcMar>
            <w:vAlign w:val="center"/>
          </w:tcPr>
          <w:p w14:paraId="52182FE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19</w:t>
            </w:r>
          </w:p>
        </w:tc>
        <w:tc>
          <w:tcPr>
            <w:tcW w:w="1171" w:type="dxa"/>
            <w:tcBorders>
              <w:tl2br w:val="nil"/>
              <w:tr2bl w:val="nil"/>
            </w:tcBorders>
            <w:noWrap w:val="0"/>
            <w:tcMar>
              <w:top w:w="28" w:type="dxa"/>
              <w:left w:w="28" w:type="dxa"/>
              <w:bottom w:w="28" w:type="dxa"/>
              <w:right w:w="28" w:type="dxa"/>
            </w:tcMar>
            <w:vAlign w:val="center"/>
          </w:tcPr>
          <w:p w14:paraId="3048126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持续提升金融服务效能</w:t>
            </w:r>
          </w:p>
        </w:tc>
        <w:tc>
          <w:tcPr>
            <w:tcW w:w="2271" w:type="dxa"/>
            <w:tcBorders>
              <w:tl2br w:val="nil"/>
              <w:tr2bl w:val="nil"/>
            </w:tcBorders>
            <w:noWrap w:val="0"/>
            <w:tcMar>
              <w:top w:w="28" w:type="dxa"/>
              <w:left w:w="28" w:type="dxa"/>
              <w:bottom w:w="28" w:type="dxa"/>
              <w:right w:w="28" w:type="dxa"/>
            </w:tcMar>
            <w:vAlign w:val="center"/>
          </w:tcPr>
          <w:p w14:paraId="3B3C443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推动各地建立支持小微企业融资协调工作机制</w:t>
            </w:r>
          </w:p>
        </w:tc>
        <w:tc>
          <w:tcPr>
            <w:tcW w:w="4429" w:type="dxa"/>
            <w:tcBorders>
              <w:tl2br w:val="nil"/>
              <w:tr2bl w:val="nil"/>
            </w:tcBorders>
            <w:noWrap w:val="0"/>
            <w:tcMar>
              <w:top w:w="28" w:type="dxa"/>
              <w:left w:w="28" w:type="dxa"/>
              <w:bottom w:w="28" w:type="dxa"/>
              <w:right w:w="28" w:type="dxa"/>
            </w:tcMar>
            <w:vAlign w:val="center"/>
          </w:tcPr>
          <w:p w14:paraId="7366380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建立自治区、市、县三级支持小微企业融资协调工作机制，引导信贷资金快速直达基层小微企业。全面开展“千企万户大走访”活动，深度摸排企业融资需求。初步筛选我区小微企业名录，制作小微企业融资工作机制专班操作手册，明确走访入户要点、沟通规范等操作事项。</w:t>
            </w:r>
          </w:p>
        </w:tc>
        <w:tc>
          <w:tcPr>
            <w:tcW w:w="2254" w:type="dxa"/>
            <w:tcBorders>
              <w:tl2br w:val="nil"/>
              <w:tr2bl w:val="nil"/>
            </w:tcBorders>
            <w:noWrap w:val="0"/>
            <w:tcMar>
              <w:top w:w="28" w:type="dxa"/>
              <w:left w:w="28" w:type="dxa"/>
              <w:bottom w:w="28" w:type="dxa"/>
              <w:right w:w="28" w:type="dxa"/>
            </w:tcMar>
            <w:vAlign w:val="center"/>
          </w:tcPr>
          <w:p w14:paraId="0A10A74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6"/>
                <w:kern w:val="21"/>
                <w:sz w:val="27"/>
                <w:szCs w:val="27"/>
                <w:u w:val="none"/>
                <w:lang w:val="en-US" w:eastAsia="zh-CN" w:bidi="ar"/>
              </w:rPr>
              <w:t>自治区发展改革委，</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广西金融监管局</w:t>
            </w:r>
          </w:p>
        </w:tc>
        <w:tc>
          <w:tcPr>
            <w:tcW w:w="2329" w:type="dxa"/>
            <w:tcBorders>
              <w:tl2br w:val="nil"/>
              <w:tr2bl w:val="nil"/>
            </w:tcBorders>
            <w:noWrap w:val="0"/>
            <w:tcMar>
              <w:top w:w="28" w:type="dxa"/>
              <w:left w:w="28" w:type="dxa"/>
              <w:bottom w:w="28" w:type="dxa"/>
              <w:right w:w="28" w:type="dxa"/>
            </w:tcMar>
            <w:vAlign w:val="center"/>
          </w:tcPr>
          <w:p w14:paraId="7176F56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1AF0B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9" w:hRule="atLeast"/>
          <w:jc w:val="center"/>
        </w:trPr>
        <w:tc>
          <w:tcPr>
            <w:tcW w:w="642" w:type="dxa"/>
            <w:tcBorders>
              <w:tl2br w:val="nil"/>
              <w:tr2bl w:val="nil"/>
            </w:tcBorders>
            <w:noWrap w:val="0"/>
            <w:tcMar>
              <w:top w:w="28" w:type="dxa"/>
              <w:left w:w="28" w:type="dxa"/>
              <w:bottom w:w="28" w:type="dxa"/>
              <w:right w:w="28" w:type="dxa"/>
            </w:tcMar>
            <w:vAlign w:val="center"/>
          </w:tcPr>
          <w:p w14:paraId="13DD2B9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20</w:t>
            </w:r>
          </w:p>
        </w:tc>
        <w:tc>
          <w:tcPr>
            <w:tcW w:w="1171" w:type="dxa"/>
            <w:vMerge w:val="restart"/>
            <w:tcBorders>
              <w:tl2br w:val="nil"/>
              <w:tr2bl w:val="nil"/>
            </w:tcBorders>
            <w:noWrap w:val="0"/>
            <w:tcMar>
              <w:top w:w="28" w:type="dxa"/>
              <w:left w:w="28" w:type="dxa"/>
              <w:bottom w:w="28" w:type="dxa"/>
              <w:right w:w="28" w:type="dxa"/>
            </w:tcMar>
            <w:vAlign w:val="center"/>
          </w:tcPr>
          <w:p w14:paraId="4B897B4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强化劳动力要素保障</w:t>
            </w:r>
          </w:p>
        </w:tc>
        <w:tc>
          <w:tcPr>
            <w:tcW w:w="2271" w:type="dxa"/>
            <w:tcBorders>
              <w:tl2br w:val="nil"/>
              <w:tr2bl w:val="nil"/>
            </w:tcBorders>
            <w:noWrap w:val="0"/>
            <w:tcMar>
              <w:top w:w="28" w:type="dxa"/>
              <w:left w:w="28" w:type="dxa"/>
              <w:bottom w:w="28" w:type="dxa"/>
              <w:right w:w="28" w:type="dxa"/>
            </w:tcMar>
            <w:vAlign w:val="center"/>
          </w:tcPr>
          <w:p w14:paraId="573DDE1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降低企业用工成本</w:t>
            </w:r>
          </w:p>
        </w:tc>
        <w:tc>
          <w:tcPr>
            <w:tcW w:w="4429" w:type="dxa"/>
            <w:tcBorders>
              <w:tl2br w:val="nil"/>
              <w:tr2bl w:val="nil"/>
            </w:tcBorders>
            <w:noWrap w:val="0"/>
            <w:tcMar>
              <w:top w:w="28" w:type="dxa"/>
              <w:left w:w="28" w:type="dxa"/>
              <w:bottom w:w="28" w:type="dxa"/>
              <w:right w:w="28" w:type="dxa"/>
            </w:tcMar>
            <w:vAlign w:val="center"/>
          </w:tcPr>
          <w:p w14:paraId="2EA015D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延续实施阶段性降低失业保险、工伤保险费率政策，实施期限延长至2025年底，降低企业用工成本。按规定落实和完善稳岗返还、专项贷款、就业和社保补贴等政策，加强对就业容量大的行业企业支持。</w:t>
            </w:r>
          </w:p>
        </w:tc>
        <w:tc>
          <w:tcPr>
            <w:tcW w:w="2254" w:type="dxa"/>
            <w:tcBorders>
              <w:tl2br w:val="nil"/>
              <w:tr2bl w:val="nil"/>
            </w:tcBorders>
            <w:noWrap w:val="0"/>
            <w:tcMar>
              <w:top w:w="28" w:type="dxa"/>
              <w:left w:w="28" w:type="dxa"/>
              <w:bottom w:w="28" w:type="dxa"/>
              <w:right w:w="28" w:type="dxa"/>
            </w:tcMar>
            <w:vAlign w:val="center"/>
          </w:tcPr>
          <w:p w14:paraId="7A47F31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自治区人力资源社会保障厅、财政厅，广西税务局</w:t>
            </w:r>
          </w:p>
        </w:tc>
        <w:tc>
          <w:tcPr>
            <w:tcW w:w="2329" w:type="dxa"/>
            <w:tcBorders>
              <w:tl2br w:val="nil"/>
              <w:tr2bl w:val="nil"/>
            </w:tcBorders>
            <w:noWrap w:val="0"/>
            <w:tcMar>
              <w:top w:w="28" w:type="dxa"/>
              <w:left w:w="28" w:type="dxa"/>
              <w:bottom w:w="28" w:type="dxa"/>
              <w:right w:w="28" w:type="dxa"/>
            </w:tcMar>
            <w:vAlign w:val="center"/>
          </w:tcPr>
          <w:p w14:paraId="1EB0A5B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1A89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6" w:hRule="atLeast"/>
          <w:jc w:val="center"/>
        </w:trPr>
        <w:tc>
          <w:tcPr>
            <w:tcW w:w="642" w:type="dxa"/>
            <w:tcBorders>
              <w:tl2br w:val="nil"/>
              <w:tr2bl w:val="nil"/>
            </w:tcBorders>
            <w:noWrap w:val="0"/>
            <w:tcMar>
              <w:top w:w="28" w:type="dxa"/>
              <w:left w:w="28" w:type="dxa"/>
              <w:bottom w:w="28" w:type="dxa"/>
              <w:right w:w="28" w:type="dxa"/>
            </w:tcMar>
            <w:vAlign w:val="center"/>
          </w:tcPr>
          <w:p w14:paraId="0AE90B2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21</w:t>
            </w:r>
          </w:p>
        </w:tc>
        <w:tc>
          <w:tcPr>
            <w:tcW w:w="1171" w:type="dxa"/>
            <w:vMerge w:val="continue"/>
            <w:tcBorders>
              <w:tl2br w:val="nil"/>
              <w:tr2bl w:val="nil"/>
            </w:tcBorders>
            <w:noWrap w:val="0"/>
            <w:tcMar>
              <w:top w:w="28" w:type="dxa"/>
              <w:left w:w="28" w:type="dxa"/>
              <w:bottom w:w="28" w:type="dxa"/>
              <w:right w:w="28" w:type="dxa"/>
            </w:tcMar>
            <w:vAlign w:val="center"/>
          </w:tcPr>
          <w:p w14:paraId="41A4377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62FEB22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加强人才引进和培育</w:t>
            </w:r>
          </w:p>
        </w:tc>
        <w:tc>
          <w:tcPr>
            <w:tcW w:w="4429" w:type="dxa"/>
            <w:tcBorders>
              <w:tl2br w:val="nil"/>
              <w:tr2bl w:val="nil"/>
            </w:tcBorders>
            <w:noWrap w:val="0"/>
            <w:tcMar>
              <w:top w:w="28" w:type="dxa"/>
              <w:left w:w="28" w:type="dxa"/>
              <w:bottom w:w="28" w:type="dxa"/>
              <w:right w:w="28" w:type="dxa"/>
            </w:tcMar>
            <w:vAlign w:val="center"/>
          </w:tcPr>
          <w:p w14:paraId="3AF98B2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创新人才引进机制，实施分层分类、精准有效的人才吸引政策。及时兑现各类人才及高校毕业生政策待遇。</w:t>
            </w:r>
          </w:p>
        </w:tc>
        <w:tc>
          <w:tcPr>
            <w:tcW w:w="2254" w:type="dxa"/>
            <w:tcBorders>
              <w:tl2br w:val="nil"/>
              <w:tr2bl w:val="nil"/>
            </w:tcBorders>
            <w:noWrap w:val="0"/>
            <w:tcMar>
              <w:top w:w="28" w:type="dxa"/>
              <w:left w:w="28" w:type="dxa"/>
              <w:bottom w:w="28" w:type="dxa"/>
              <w:right w:w="28" w:type="dxa"/>
            </w:tcMar>
            <w:vAlign w:val="center"/>
          </w:tcPr>
          <w:p w14:paraId="69AC31C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自治区人力资源社会保障厅</w:t>
            </w:r>
          </w:p>
        </w:tc>
        <w:tc>
          <w:tcPr>
            <w:tcW w:w="2329" w:type="dxa"/>
            <w:tcBorders>
              <w:tl2br w:val="nil"/>
              <w:tr2bl w:val="nil"/>
            </w:tcBorders>
            <w:noWrap w:val="0"/>
            <w:tcMar>
              <w:top w:w="28" w:type="dxa"/>
              <w:left w:w="28" w:type="dxa"/>
              <w:bottom w:w="28" w:type="dxa"/>
              <w:right w:w="28" w:type="dxa"/>
            </w:tcMar>
            <w:vAlign w:val="center"/>
          </w:tcPr>
          <w:p w14:paraId="31F9ECA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自治区教育厅</w:t>
            </w:r>
          </w:p>
        </w:tc>
      </w:tr>
      <w:tr w14:paraId="6E924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atLeast"/>
          <w:jc w:val="center"/>
        </w:trPr>
        <w:tc>
          <w:tcPr>
            <w:tcW w:w="642" w:type="dxa"/>
            <w:tcBorders>
              <w:tl2br w:val="nil"/>
              <w:tr2bl w:val="nil"/>
            </w:tcBorders>
            <w:noWrap w:val="0"/>
            <w:tcMar>
              <w:top w:w="28" w:type="dxa"/>
              <w:left w:w="28" w:type="dxa"/>
              <w:bottom w:w="28" w:type="dxa"/>
              <w:right w:w="28" w:type="dxa"/>
            </w:tcMar>
            <w:vAlign w:val="center"/>
          </w:tcPr>
          <w:p w14:paraId="5584E87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22</w:t>
            </w:r>
          </w:p>
        </w:tc>
        <w:tc>
          <w:tcPr>
            <w:tcW w:w="1171" w:type="dxa"/>
            <w:vMerge w:val="restart"/>
            <w:tcBorders>
              <w:tl2br w:val="nil"/>
              <w:tr2bl w:val="nil"/>
            </w:tcBorders>
            <w:noWrap w:val="0"/>
            <w:tcMar>
              <w:top w:w="28" w:type="dxa"/>
              <w:left w:w="28" w:type="dxa"/>
              <w:bottom w:w="28" w:type="dxa"/>
              <w:right w:w="28" w:type="dxa"/>
            </w:tcMar>
            <w:vAlign w:val="center"/>
          </w:tcPr>
          <w:p w14:paraId="5E806B2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强化劳动力要素保障</w:t>
            </w:r>
          </w:p>
        </w:tc>
        <w:tc>
          <w:tcPr>
            <w:tcW w:w="2271" w:type="dxa"/>
            <w:tcBorders>
              <w:tl2br w:val="nil"/>
              <w:tr2bl w:val="nil"/>
            </w:tcBorders>
            <w:noWrap w:val="0"/>
            <w:tcMar>
              <w:top w:w="28" w:type="dxa"/>
              <w:left w:w="28" w:type="dxa"/>
              <w:bottom w:w="28" w:type="dxa"/>
              <w:right w:w="28" w:type="dxa"/>
            </w:tcMar>
            <w:vAlign w:val="center"/>
          </w:tcPr>
          <w:p w14:paraId="40D2362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强化对灵活就业人员的支持</w:t>
            </w:r>
          </w:p>
        </w:tc>
        <w:tc>
          <w:tcPr>
            <w:tcW w:w="4429" w:type="dxa"/>
            <w:tcBorders>
              <w:tl2br w:val="nil"/>
              <w:tr2bl w:val="nil"/>
            </w:tcBorders>
            <w:noWrap w:val="0"/>
            <w:tcMar>
              <w:top w:w="28" w:type="dxa"/>
              <w:left w:w="28" w:type="dxa"/>
              <w:bottom w:w="28" w:type="dxa"/>
              <w:right w:w="28" w:type="dxa"/>
            </w:tcMar>
            <w:vAlign w:val="center"/>
          </w:tcPr>
          <w:p w14:paraId="72DB278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拓宽灵活就业渠道，制定支持和规范发展新就业形态政策措施，取消对灵活就业的不合理限制，加大对灵活就业人员就业服务、技能培训和创业扶持等帮扶力度。</w:t>
            </w:r>
          </w:p>
        </w:tc>
        <w:tc>
          <w:tcPr>
            <w:tcW w:w="2254" w:type="dxa"/>
            <w:tcBorders>
              <w:tl2br w:val="nil"/>
              <w:tr2bl w:val="nil"/>
            </w:tcBorders>
            <w:noWrap w:val="0"/>
            <w:tcMar>
              <w:top w:w="28" w:type="dxa"/>
              <w:left w:w="28" w:type="dxa"/>
              <w:bottom w:w="28" w:type="dxa"/>
              <w:right w:w="28" w:type="dxa"/>
            </w:tcMar>
            <w:vAlign w:val="center"/>
          </w:tcPr>
          <w:p w14:paraId="4319E76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自治区人力资源社会保障厅</w:t>
            </w:r>
          </w:p>
        </w:tc>
        <w:tc>
          <w:tcPr>
            <w:tcW w:w="2329" w:type="dxa"/>
            <w:tcBorders>
              <w:tl2br w:val="nil"/>
              <w:tr2bl w:val="nil"/>
            </w:tcBorders>
            <w:noWrap w:val="0"/>
            <w:tcMar>
              <w:top w:w="28" w:type="dxa"/>
              <w:left w:w="28" w:type="dxa"/>
              <w:bottom w:w="28" w:type="dxa"/>
              <w:right w:w="28" w:type="dxa"/>
            </w:tcMar>
            <w:vAlign w:val="center"/>
          </w:tcPr>
          <w:p w14:paraId="22795BB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0ED65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jc w:val="center"/>
        </w:trPr>
        <w:tc>
          <w:tcPr>
            <w:tcW w:w="642" w:type="dxa"/>
            <w:tcBorders>
              <w:tl2br w:val="nil"/>
              <w:tr2bl w:val="nil"/>
            </w:tcBorders>
            <w:noWrap w:val="0"/>
            <w:tcMar>
              <w:top w:w="28" w:type="dxa"/>
              <w:left w:w="28" w:type="dxa"/>
              <w:bottom w:w="28" w:type="dxa"/>
              <w:right w:w="28" w:type="dxa"/>
            </w:tcMar>
            <w:vAlign w:val="center"/>
          </w:tcPr>
          <w:p w14:paraId="06AE234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23</w:t>
            </w:r>
          </w:p>
        </w:tc>
        <w:tc>
          <w:tcPr>
            <w:tcW w:w="1171" w:type="dxa"/>
            <w:vMerge w:val="continue"/>
            <w:tcBorders>
              <w:tl2br w:val="nil"/>
              <w:tr2bl w:val="nil"/>
            </w:tcBorders>
            <w:noWrap w:val="0"/>
            <w:tcMar>
              <w:top w:w="28" w:type="dxa"/>
              <w:left w:w="28" w:type="dxa"/>
              <w:bottom w:w="28" w:type="dxa"/>
              <w:right w:w="28" w:type="dxa"/>
            </w:tcMar>
            <w:vAlign w:val="center"/>
          </w:tcPr>
          <w:p w14:paraId="29FC4D3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550ED2F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完善职称评价机制</w:t>
            </w:r>
          </w:p>
        </w:tc>
        <w:tc>
          <w:tcPr>
            <w:tcW w:w="4429" w:type="dxa"/>
            <w:tcBorders>
              <w:tl2br w:val="nil"/>
              <w:tr2bl w:val="nil"/>
            </w:tcBorders>
            <w:noWrap w:val="0"/>
            <w:tcMar>
              <w:top w:w="28" w:type="dxa"/>
              <w:left w:w="28" w:type="dxa"/>
              <w:bottom w:w="28" w:type="dxa"/>
              <w:right w:w="28" w:type="dxa"/>
            </w:tcMar>
            <w:vAlign w:val="center"/>
          </w:tcPr>
          <w:p w14:paraId="0086E94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完善职称社会化评价机制，实行个人自主申报、单位择优推荐、同行专家评议、政府指导监管，为各类优秀人才创造更多职业发展机会。</w:t>
            </w:r>
          </w:p>
        </w:tc>
        <w:tc>
          <w:tcPr>
            <w:tcW w:w="2254" w:type="dxa"/>
            <w:tcBorders>
              <w:tl2br w:val="nil"/>
              <w:tr2bl w:val="nil"/>
            </w:tcBorders>
            <w:noWrap w:val="0"/>
            <w:tcMar>
              <w:top w:w="28" w:type="dxa"/>
              <w:left w:w="28" w:type="dxa"/>
              <w:bottom w:w="28" w:type="dxa"/>
              <w:right w:w="28" w:type="dxa"/>
            </w:tcMar>
            <w:vAlign w:val="center"/>
          </w:tcPr>
          <w:p w14:paraId="7C7C2CD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自治区人力资源社会保障厅</w:t>
            </w:r>
          </w:p>
        </w:tc>
        <w:tc>
          <w:tcPr>
            <w:tcW w:w="2329" w:type="dxa"/>
            <w:tcBorders>
              <w:tl2br w:val="nil"/>
              <w:tr2bl w:val="nil"/>
            </w:tcBorders>
            <w:noWrap w:val="0"/>
            <w:tcMar>
              <w:top w:w="28" w:type="dxa"/>
              <w:left w:w="28" w:type="dxa"/>
              <w:bottom w:w="28" w:type="dxa"/>
              <w:right w:w="28" w:type="dxa"/>
            </w:tcMar>
            <w:vAlign w:val="center"/>
          </w:tcPr>
          <w:p w14:paraId="79D493B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46DC9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9" w:hRule="atLeast"/>
          <w:jc w:val="center"/>
        </w:trPr>
        <w:tc>
          <w:tcPr>
            <w:tcW w:w="642" w:type="dxa"/>
            <w:tcBorders>
              <w:tl2br w:val="nil"/>
              <w:tr2bl w:val="nil"/>
            </w:tcBorders>
            <w:noWrap w:val="0"/>
            <w:tcMar>
              <w:top w:w="28" w:type="dxa"/>
              <w:left w:w="28" w:type="dxa"/>
              <w:bottom w:w="28" w:type="dxa"/>
              <w:right w:w="28" w:type="dxa"/>
            </w:tcMar>
            <w:vAlign w:val="center"/>
          </w:tcPr>
          <w:p w14:paraId="62770A2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24</w:t>
            </w:r>
          </w:p>
        </w:tc>
        <w:tc>
          <w:tcPr>
            <w:tcW w:w="1171" w:type="dxa"/>
            <w:vMerge w:val="restart"/>
            <w:tcBorders>
              <w:tl2br w:val="nil"/>
              <w:tr2bl w:val="nil"/>
            </w:tcBorders>
            <w:noWrap w:val="0"/>
            <w:tcMar>
              <w:top w:w="28" w:type="dxa"/>
              <w:left w:w="28" w:type="dxa"/>
              <w:bottom w:w="28" w:type="dxa"/>
              <w:right w:w="28" w:type="dxa"/>
            </w:tcMar>
            <w:vAlign w:val="center"/>
          </w:tcPr>
          <w:p w14:paraId="2AD7914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规范政府采购和招标投标工作</w:t>
            </w:r>
          </w:p>
        </w:tc>
        <w:tc>
          <w:tcPr>
            <w:tcW w:w="2271" w:type="dxa"/>
            <w:tcBorders>
              <w:tl2br w:val="nil"/>
              <w:tr2bl w:val="nil"/>
            </w:tcBorders>
            <w:noWrap w:val="0"/>
            <w:tcMar>
              <w:top w:w="28" w:type="dxa"/>
              <w:left w:w="28" w:type="dxa"/>
              <w:bottom w:w="28" w:type="dxa"/>
              <w:right w:w="28" w:type="dxa"/>
            </w:tcMar>
            <w:vAlign w:val="center"/>
          </w:tcPr>
          <w:p w14:paraId="54A5D33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开展违法违规行为专项整治</w:t>
            </w:r>
          </w:p>
        </w:tc>
        <w:tc>
          <w:tcPr>
            <w:tcW w:w="4429" w:type="dxa"/>
            <w:tcBorders>
              <w:tl2br w:val="nil"/>
              <w:tr2bl w:val="nil"/>
            </w:tcBorders>
            <w:noWrap w:val="0"/>
            <w:tcMar>
              <w:top w:w="28" w:type="dxa"/>
              <w:left w:w="28" w:type="dxa"/>
              <w:bottom w:w="28" w:type="dxa"/>
              <w:right w:w="28" w:type="dxa"/>
            </w:tcMar>
            <w:vAlign w:val="center"/>
          </w:tcPr>
          <w:p w14:paraId="74173F4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针对当前政府采购领域反映突出的采购人设置差别歧视条款、采购代理机构乱收费、供应商提供虚假材料、供应商围标串标等四类违法违规行为持续开展专项整治。</w:t>
            </w:r>
          </w:p>
        </w:tc>
        <w:tc>
          <w:tcPr>
            <w:tcW w:w="2254" w:type="dxa"/>
            <w:tcBorders>
              <w:tl2br w:val="nil"/>
              <w:tr2bl w:val="nil"/>
            </w:tcBorders>
            <w:noWrap w:val="0"/>
            <w:tcMar>
              <w:top w:w="28" w:type="dxa"/>
              <w:left w:w="28" w:type="dxa"/>
              <w:bottom w:w="28" w:type="dxa"/>
              <w:right w:w="28" w:type="dxa"/>
            </w:tcMar>
            <w:vAlign w:val="center"/>
          </w:tcPr>
          <w:p w14:paraId="240C021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自治区财政厅，各行政监督部门</w:t>
            </w:r>
          </w:p>
        </w:tc>
        <w:tc>
          <w:tcPr>
            <w:tcW w:w="2329" w:type="dxa"/>
            <w:tcBorders>
              <w:tl2br w:val="nil"/>
              <w:tr2bl w:val="nil"/>
            </w:tcBorders>
            <w:noWrap w:val="0"/>
            <w:tcMar>
              <w:top w:w="28" w:type="dxa"/>
              <w:left w:w="28" w:type="dxa"/>
              <w:bottom w:w="28" w:type="dxa"/>
              <w:right w:w="28" w:type="dxa"/>
            </w:tcMar>
            <w:vAlign w:val="center"/>
          </w:tcPr>
          <w:p w14:paraId="27FF9B5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3FAAA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jc w:val="center"/>
        </w:trPr>
        <w:tc>
          <w:tcPr>
            <w:tcW w:w="642" w:type="dxa"/>
            <w:tcBorders>
              <w:tl2br w:val="nil"/>
              <w:tr2bl w:val="nil"/>
            </w:tcBorders>
            <w:noWrap w:val="0"/>
            <w:tcMar>
              <w:top w:w="28" w:type="dxa"/>
              <w:left w:w="28" w:type="dxa"/>
              <w:bottom w:w="28" w:type="dxa"/>
              <w:right w:w="28" w:type="dxa"/>
            </w:tcMar>
            <w:vAlign w:val="center"/>
          </w:tcPr>
          <w:p w14:paraId="2A895DA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25</w:t>
            </w:r>
          </w:p>
        </w:tc>
        <w:tc>
          <w:tcPr>
            <w:tcW w:w="1171" w:type="dxa"/>
            <w:vMerge w:val="continue"/>
            <w:tcBorders>
              <w:tl2br w:val="nil"/>
              <w:tr2bl w:val="nil"/>
            </w:tcBorders>
            <w:noWrap w:val="0"/>
            <w:tcMar>
              <w:top w:w="28" w:type="dxa"/>
              <w:left w:w="28" w:type="dxa"/>
              <w:bottom w:w="28" w:type="dxa"/>
              <w:right w:w="28" w:type="dxa"/>
            </w:tcMar>
            <w:vAlign w:val="center"/>
          </w:tcPr>
          <w:p w14:paraId="7D02EC5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6B955BB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健全采购信用管理机制</w:t>
            </w:r>
          </w:p>
        </w:tc>
        <w:tc>
          <w:tcPr>
            <w:tcW w:w="4429" w:type="dxa"/>
            <w:tcBorders>
              <w:tl2br w:val="nil"/>
              <w:tr2bl w:val="nil"/>
            </w:tcBorders>
            <w:noWrap w:val="0"/>
            <w:tcMar>
              <w:top w:w="28" w:type="dxa"/>
              <w:left w:w="28" w:type="dxa"/>
              <w:bottom w:w="28" w:type="dxa"/>
              <w:right w:w="28" w:type="dxa"/>
            </w:tcMar>
            <w:vAlign w:val="center"/>
          </w:tcPr>
          <w:p w14:paraId="762F2B2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健全供应商、采购代理机构、评审专家严重违法失信行为信用记录归集和发布机制。</w:t>
            </w:r>
          </w:p>
        </w:tc>
        <w:tc>
          <w:tcPr>
            <w:tcW w:w="2254" w:type="dxa"/>
            <w:tcBorders>
              <w:tl2br w:val="nil"/>
              <w:tr2bl w:val="nil"/>
            </w:tcBorders>
            <w:noWrap w:val="0"/>
            <w:tcMar>
              <w:top w:w="28" w:type="dxa"/>
              <w:left w:w="28" w:type="dxa"/>
              <w:bottom w:w="28" w:type="dxa"/>
              <w:right w:w="28" w:type="dxa"/>
            </w:tcMar>
            <w:vAlign w:val="center"/>
          </w:tcPr>
          <w:p w14:paraId="4EF664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自治区财政厅，各行政监督部门</w:t>
            </w:r>
          </w:p>
        </w:tc>
        <w:tc>
          <w:tcPr>
            <w:tcW w:w="2329" w:type="dxa"/>
            <w:tcBorders>
              <w:tl2br w:val="nil"/>
              <w:tr2bl w:val="nil"/>
            </w:tcBorders>
            <w:noWrap w:val="0"/>
            <w:tcMar>
              <w:top w:w="28" w:type="dxa"/>
              <w:left w:w="28" w:type="dxa"/>
              <w:bottom w:w="28" w:type="dxa"/>
              <w:right w:w="28" w:type="dxa"/>
            </w:tcMar>
            <w:vAlign w:val="center"/>
          </w:tcPr>
          <w:p w14:paraId="5E04727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5AACA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642" w:type="dxa"/>
            <w:tcBorders>
              <w:tl2br w:val="nil"/>
              <w:tr2bl w:val="nil"/>
            </w:tcBorders>
            <w:noWrap w:val="0"/>
            <w:tcMar>
              <w:top w:w="28" w:type="dxa"/>
              <w:left w:w="28" w:type="dxa"/>
              <w:bottom w:w="28" w:type="dxa"/>
              <w:right w:w="28" w:type="dxa"/>
            </w:tcMar>
            <w:vAlign w:val="center"/>
          </w:tcPr>
          <w:p w14:paraId="7928C9D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26</w:t>
            </w:r>
          </w:p>
        </w:tc>
        <w:tc>
          <w:tcPr>
            <w:tcW w:w="1171" w:type="dxa"/>
            <w:vMerge w:val="continue"/>
            <w:tcBorders>
              <w:tl2br w:val="nil"/>
              <w:tr2bl w:val="nil"/>
            </w:tcBorders>
            <w:noWrap w:val="0"/>
            <w:tcMar>
              <w:top w:w="28" w:type="dxa"/>
              <w:left w:w="28" w:type="dxa"/>
              <w:bottom w:w="28" w:type="dxa"/>
              <w:right w:w="28" w:type="dxa"/>
            </w:tcMar>
            <w:vAlign w:val="center"/>
          </w:tcPr>
          <w:p w14:paraId="02E3129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5836956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加强诚信履约机制建设</w:t>
            </w:r>
          </w:p>
        </w:tc>
        <w:tc>
          <w:tcPr>
            <w:tcW w:w="4429" w:type="dxa"/>
            <w:tcBorders>
              <w:tl2br w:val="nil"/>
              <w:tr2bl w:val="nil"/>
            </w:tcBorders>
            <w:noWrap w:val="0"/>
            <w:tcMar>
              <w:top w:w="28" w:type="dxa"/>
              <w:left w:w="28" w:type="dxa"/>
              <w:bottom w:w="28" w:type="dxa"/>
              <w:right w:w="28" w:type="dxa"/>
            </w:tcMar>
            <w:vAlign w:val="center"/>
          </w:tcPr>
          <w:p w14:paraId="18DB1D3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落实中央部署，完善针对供应商重大违约的限制性措施，督促其诚信履约。</w:t>
            </w:r>
          </w:p>
        </w:tc>
        <w:tc>
          <w:tcPr>
            <w:tcW w:w="2254" w:type="dxa"/>
            <w:tcBorders>
              <w:tl2br w:val="nil"/>
              <w:tr2bl w:val="nil"/>
            </w:tcBorders>
            <w:noWrap w:val="0"/>
            <w:tcMar>
              <w:top w:w="28" w:type="dxa"/>
              <w:left w:w="28" w:type="dxa"/>
              <w:bottom w:w="28" w:type="dxa"/>
              <w:right w:w="28" w:type="dxa"/>
            </w:tcMar>
            <w:vAlign w:val="center"/>
          </w:tcPr>
          <w:p w14:paraId="323AE88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自治区财政厅，各行政监督部门</w:t>
            </w:r>
          </w:p>
        </w:tc>
        <w:tc>
          <w:tcPr>
            <w:tcW w:w="2329" w:type="dxa"/>
            <w:tcBorders>
              <w:tl2br w:val="nil"/>
              <w:tr2bl w:val="nil"/>
            </w:tcBorders>
            <w:noWrap w:val="0"/>
            <w:tcMar>
              <w:top w:w="28" w:type="dxa"/>
              <w:left w:w="28" w:type="dxa"/>
              <w:bottom w:w="28" w:type="dxa"/>
              <w:right w:w="28" w:type="dxa"/>
            </w:tcMar>
            <w:vAlign w:val="center"/>
          </w:tcPr>
          <w:p w14:paraId="08024C5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56E37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74F53E0B">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27</w:t>
            </w:r>
          </w:p>
        </w:tc>
        <w:tc>
          <w:tcPr>
            <w:tcW w:w="1171" w:type="dxa"/>
            <w:vMerge w:val="restart"/>
            <w:tcBorders>
              <w:tl2br w:val="nil"/>
              <w:tr2bl w:val="nil"/>
            </w:tcBorders>
            <w:noWrap w:val="0"/>
            <w:tcMar>
              <w:top w:w="28" w:type="dxa"/>
              <w:left w:w="28" w:type="dxa"/>
              <w:bottom w:w="28" w:type="dxa"/>
              <w:right w:w="28" w:type="dxa"/>
            </w:tcMar>
            <w:vAlign w:val="center"/>
          </w:tcPr>
          <w:p w14:paraId="0114A757">
            <w:pPr>
              <w:keepNext w:val="0"/>
              <w:keepLines w:val="0"/>
              <w:pageBreakBefore w:val="0"/>
              <w:widowControl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规范政府采购和招标投标工作</w:t>
            </w:r>
          </w:p>
        </w:tc>
        <w:tc>
          <w:tcPr>
            <w:tcW w:w="2271" w:type="dxa"/>
            <w:tcBorders>
              <w:tl2br w:val="nil"/>
              <w:tr2bl w:val="nil"/>
            </w:tcBorders>
            <w:noWrap w:val="0"/>
            <w:tcMar>
              <w:top w:w="28" w:type="dxa"/>
              <w:left w:w="28" w:type="dxa"/>
              <w:bottom w:w="28" w:type="dxa"/>
              <w:right w:w="28" w:type="dxa"/>
            </w:tcMar>
            <w:vAlign w:val="center"/>
          </w:tcPr>
          <w:p w14:paraId="7B5AD1F7">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加大对中小企业的扶持力度</w:t>
            </w:r>
          </w:p>
        </w:tc>
        <w:tc>
          <w:tcPr>
            <w:tcW w:w="4429" w:type="dxa"/>
            <w:tcBorders>
              <w:tl2br w:val="nil"/>
              <w:tr2bl w:val="nil"/>
            </w:tcBorders>
            <w:noWrap w:val="0"/>
            <w:tcMar>
              <w:top w:w="28" w:type="dxa"/>
              <w:left w:w="28" w:type="dxa"/>
              <w:bottom w:w="28" w:type="dxa"/>
              <w:right w:w="28" w:type="dxa"/>
            </w:tcMar>
            <w:vAlign w:val="center"/>
          </w:tcPr>
          <w:p w14:paraId="05A0DC35">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适用招标投标法的政府采购工程项目要全面落实政府采购支持中小企业政策，对超过400万元的工程采购项目中适宜由中小企业提供的，预留份额由30%以上阶段性提高至40%以上。</w:t>
            </w:r>
          </w:p>
        </w:tc>
        <w:tc>
          <w:tcPr>
            <w:tcW w:w="2254" w:type="dxa"/>
            <w:tcBorders>
              <w:tl2br w:val="nil"/>
              <w:tr2bl w:val="nil"/>
            </w:tcBorders>
            <w:noWrap w:val="0"/>
            <w:tcMar>
              <w:top w:w="28" w:type="dxa"/>
              <w:left w:w="28" w:type="dxa"/>
              <w:bottom w:w="28" w:type="dxa"/>
              <w:right w:w="28" w:type="dxa"/>
            </w:tcMar>
            <w:vAlign w:val="center"/>
          </w:tcPr>
          <w:p w14:paraId="6651768A">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自治区财政厅，各行政监督部门</w:t>
            </w:r>
          </w:p>
        </w:tc>
        <w:tc>
          <w:tcPr>
            <w:tcW w:w="2329" w:type="dxa"/>
            <w:tcBorders>
              <w:tl2br w:val="nil"/>
              <w:tr2bl w:val="nil"/>
            </w:tcBorders>
            <w:noWrap w:val="0"/>
            <w:tcMar>
              <w:top w:w="28" w:type="dxa"/>
              <w:left w:w="28" w:type="dxa"/>
              <w:bottom w:w="28" w:type="dxa"/>
              <w:right w:w="28" w:type="dxa"/>
            </w:tcMar>
            <w:vAlign w:val="center"/>
          </w:tcPr>
          <w:p w14:paraId="35095302">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4A348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17A4A50E">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28</w:t>
            </w:r>
          </w:p>
        </w:tc>
        <w:tc>
          <w:tcPr>
            <w:tcW w:w="1171" w:type="dxa"/>
            <w:vMerge w:val="continue"/>
            <w:tcBorders>
              <w:tl2br w:val="nil"/>
              <w:tr2bl w:val="nil"/>
            </w:tcBorders>
            <w:noWrap w:val="0"/>
            <w:tcMar>
              <w:top w:w="28" w:type="dxa"/>
              <w:left w:w="28" w:type="dxa"/>
              <w:bottom w:w="28" w:type="dxa"/>
              <w:right w:w="28" w:type="dxa"/>
            </w:tcMar>
            <w:vAlign w:val="center"/>
          </w:tcPr>
          <w:p w14:paraId="3C67AA63">
            <w:pPr>
              <w:keepNext w:val="0"/>
              <w:keepLines w:val="0"/>
              <w:pageBreakBefore w:val="0"/>
              <w:widowControl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62CD16DD">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营造良好的招标投标市场环境</w:t>
            </w:r>
          </w:p>
        </w:tc>
        <w:tc>
          <w:tcPr>
            <w:tcW w:w="4429" w:type="dxa"/>
            <w:tcBorders>
              <w:tl2br w:val="nil"/>
              <w:tr2bl w:val="nil"/>
            </w:tcBorders>
            <w:noWrap w:val="0"/>
            <w:tcMar>
              <w:top w:w="28" w:type="dxa"/>
              <w:left w:w="28" w:type="dxa"/>
              <w:bottom w:w="28" w:type="dxa"/>
              <w:right w:w="28" w:type="dxa"/>
            </w:tcMar>
            <w:vAlign w:val="center"/>
          </w:tcPr>
          <w:p w14:paraId="16BE0ABB">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引导招标人根据项目特点，科学合理选择评标方式，综合考虑生产、包装、物流、销售、服务、回收和再利用等环节确定评标标准。完善评标委员会对异常低价的甄别处理程序，依法否决严重影响履约的异常低价投标。</w:t>
            </w:r>
          </w:p>
        </w:tc>
        <w:tc>
          <w:tcPr>
            <w:tcW w:w="2254" w:type="dxa"/>
            <w:tcBorders>
              <w:tl2br w:val="nil"/>
              <w:tr2bl w:val="nil"/>
            </w:tcBorders>
            <w:noWrap w:val="0"/>
            <w:tcMar>
              <w:top w:w="28" w:type="dxa"/>
              <w:left w:w="28" w:type="dxa"/>
              <w:bottom w:w="28" w:type="dxa"/>
              <w:right w:w="28" w:type="dxa"/>
            </w:tcMar>
            <w:vAlign w:val="center"/>
          </w:tcPr>
          <w:p w14:paraId="7B3943B9">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自治区公共资源交易中心，各行政监督部门</w:t>
            </w:r>
          </w:p>
        </w:tc>
        <w:tc>
          <w:tcPr>
            <w:tcW w:w="2329" w:type="dxa"/>
            <w:tcBorders>
              <w:tl2br w:val="nil"/>
              <w:tr2bl w:val="nil"/>
            </w:tcBorders>
            <w:noWrap w:val="0"/>
            <w:tcMar>
              <w:top w:w="28" w:type="dxa"/>
              <w:left w:w="28" w:type="dxa"/>
              <w:bottom w:w="28" w:type="dxa"/>
              <w:right w:w="28" w:type="dxa"/>
            </w:tcMar>
            <w:vAlign w:val="center"/>
          </w:tcPr>
          <w:p w14:paraId="1501CC80">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27F51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6C3B489D">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29</w:t>
            </w:r>
          </w:p>
        </w:tc>
        <w:tc>
          <w:tcPr>
            <w:tcW w:w="1171" w:type="dxa"/>
            <w:vMerge w:val="continue"/>
            <w:tcBorders>
              <w:tl2br w:val="nil"/>
              <w:tr2bl w:val="nil"/>
            </w:tcBorders>
            <w:noWrap w:val="0"/>
            <w:tcMar>
              <w:top w:w="28" w:type="dxa"/>
              <w:left w:w="28" w:type="dxa"/>
              <w:bottom w:w="28" w:type="dxa"/>
              <w:right w:w="28" w:type="dxa"/>
            </w:tcMar>
            <w:vAlign w:val="center"/>
          </w:tcPr>
          <w:p w14:paraId="61C833B4">
            <w:pPr>
              <w:keepNext w:val="0"/>
              <w:keepLines w:val="0"/>
              <w:pageBreakBefore w:val="0"/>
              <w:widowControl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2DD6C161">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建设全区统一共享的公共资源交易经营主体库</w:t>
            </w:r>
          </w:p>
        </w:tc>
        <w:tc>
          <w:tcPr>
            <w:tcW w:w="4429" w:type="dxa"/>
            <w:tcBorders>
              <w:tl2br w:val="nil"/>
              <w:tr2bl w:val="nil"/>
            </w:tcBorders>
            <w:noWrap w:val="0"/>
            <w:tcMar>
              <w:top w:w="28" w:type="dxa"/>
              <w:left w:w="28" w:type="dxa"/>
              <w:bottom w:w="28" w:type="dxa"/>
              <w:right w:w="28" w:type="dxa"/>
            </w:tcMar>
            <w:vAlign w:val="center"/>
          </w:tcPr>
          <w:p w14:paraId="52137DD3">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建立全区公共资源交易经营主体信息库，自治区内公共资源交易领域实现CA数字证书跨部门、跨行业、跨区域互认。</w:t>
            </w:r>
          </w:p>
        </w:tc>
        <w:tc>
          <w:tcPr>
            <w:tcW w:w="2254" w:type="dxa"/>
            <w:tcBorders>
              <w:tl2br w:val="nil"/>
              <w:tr2bl w:val="nil"/>
            </w:tcBorders>
            <w:noWrap w:val="0"/>
            <w:tcMar>
              <w:top w:w="28" w:type="dxa"/>
              <w:left w:w="28" w:type="dxa"/>
              <w:bottom w:w="28" w:type="dxa"/>
              <w:right w:w="28" w:type="dxa"/>
            </w:tcMar>
            <w:vAlign w:val="center"/>
          </w:tcPr>
          <w:p w14:paraId="5BCBBF8D">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自治区公共资源交易中心，各行政监督部门</w:t>
            </w:r>
          </w:p>
        </w:tc>
        <w:tc>
          <w:tcPr>
            <w:tcW w:w="2329" w:type="dxa"/>
            <w:tcBorders>
              <w:tl2br w:val="nil"/>
              <w:tr2bl w:val="nil"/>
            </w:tcBorders>
            <w:noWrap w:val="0"/>
            <w:tcMar>
              <w:top w:w="28" w:type="dxa"/>
              <w:left w:w="28" w:type="dxa"/>
              <w:bottom w:w="28" w:type="dxa"/>
              <w:right w:w="28" w:type="dxa"/>
            </w:tcMar>
            <w:vAlign w:val="center"/>
          </w:tcPr>
          <w:p w14:paraId="04EBC382">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555F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5BA0220F">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30</w:t>
            </w:r>
          </w:p>
        </w:tc>
        <w:tc>
          <w:tcPr>
            <w:tcW w:w="1171" w:type="dxa"/>
            <w:vMerge w:val="continue"/>
            <w:tcBorders>
              <w:tl2br w:val="nil"/>
              <w:tr2bl w:val="nil"/>
            </w:tcBorders>
            <w:noWrap w:val="0"/>
            <w:tcMar>
              <w:top w:w="28" w:type="dxa"/>
              <w:left w:w="28" w:type="dxa"/>
              <w:bottom w:w="28" w:type="dxa"/>
              <w:right w:w="28" w:type="dxa"/>
            </w:tcMar>
            <w:vAlign w:val="center"/>
          </w:tcPr>
          <w:p w14:paraId="1559A700">
            <w:pPr>
              <w:keepNext w:val="0"/>
              <w:keepLines w:val="0"/>
              <w:pageBreakBefore w:val="0"/>
              <w:widowControl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70984062">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探索智能辅助评标新机制</w:t>
            </w:r>
          </w:p>
        </w:tc>
        <w:tc>
          <w:tcPr>
            <w:tcW w:w="4429" w:type="dxa"/>
            <w:tcBorders>
              <w:tl2br w:val="nil"/>
              <w:tr2bl w:val="nil"/>
            </w:tcBorders>
            <w:noWrap w:val="0"/>
            <w:tcMar>
              <w:top w:w="28" w:type="dxa"/>
              <w:left w:w="28" w:type="dxa"/>
              <w:bottom w:w="28" w:type="dxa"/>
              <w:right w:w="28" w:type="dxa"/>
            </w:tcMar>
            <w:vAlign w:val="center"/>
          </w:tcPr>
          <w:p w14:paraId="397B16EC">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以大数据为支撑，借助数字化、人工智能等技术，将适合通过智能化手段完成的工作转由系统自动完成，对复杂的评审指标通过快速定位、智能化比对等手段减少人工工作量，实现评标方式从传统人工向“人工</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智能”转变。</w:t>
            </w:r>
          </w:p>
        </w:tc>
        <w:tc>
          <w:tcPr>
            <w:tcW w:w="2254" w:type="dxa"/>
            <w:tcBorders>
              <w:tl2br w:val="nil"/>
              <w:tr2bl w:val="nil"/>
            </w:tcBorders>
            <w:noWrap w:val="0"/>
            <w:tcMar>
              <w:top w:w="28" w:type="dxa"/>
              <w:left w:w="28" w:type="dxa"/>
              <w:bottom w:w="28" w:type="dxa"/>
              <w:right w:w="28" w:type="dxa"/>
            </w:tcMar>
            <w:vAlign w:val="center"/>
          </w:tcPr>
          <w:p w14:paraId="562F9A6F">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自治区公共资源交易中心，各行政监督部门</w:t>
            </w:r>
          </w:p>
        </w:tc>
        <w:tc>
          <w:tcPr>
            <w:tcW w:w="2329" w:type="dxa"/>
            <w:tcBorders>
              <w:tl2br w:val="nil"/>
              <w:tr2bl w:val="nil"/>
            </w:tcBorders>
            <w:noWrap w:val="0"/>
            <w:tcMar>
              <w:top w:w="28" w:type="dxa"/>
              <w:left w:w="28" w:type="dxa"/>
              <w:bottom w:w="28" w:type="dxa"/>
              <w:right w:w="28" w:type="dxa"/>
            </w:tcMar>
            <w:vAlign w:val="center"/>
          </w:tcPr>
          <w:p w14:paraId="6CEE2903">
            <w:pPr>
              <w:keepNext w:val="0"/>
              <w:keepLines w:val="0"/>
              <w:pageBreakBefore w:val="0"/>
              <w:widowControl w:val="0"/>
              <w:suppressLineNumbers w:val="0"/>
              <w:kinsoku/>
              <w:wordWrap/>
              <w:overflowPunct/>
              <w:topLinePunct w:val="0"/>
              <w:autoSpaceDE/>
              <w:autoSpaceDN/>
              <w:bidi w:val="0"/>
              <w:adjustRightInd w:val="0"/>
              <w:snapToGrid w:val="0"/>
              <w:spacing w:line="37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5AB3D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1" w:hRule="atLeast"/>
          <w:jc w:val="center"/>
        </w:trPr>
        <w:tc>
          <w:tcPr>
            <w:tcW w:w="642" w:type="dxa"/>
            <w:tcBorders>
              <w:tl2br w:val="nil"/>
              <w:tr2bl w:val="nil"/>
            </w:tcBorders>
            <w:noWrap w:val="0"/>
            <w:tcMar>
              <w:top w:w="28" w:type="dxa"/>
              <w:left w:w="28" w:type="dxa"/>
              <w:bottom w:w="28" w:type="dxa"/>
              <w:right w:w="28" w:type="dxa"/>
            </w:tcMar>
            <w:vAlign w:val="center"/>
          </w:tcPr>
          <w:p w14:paraId="6ECB653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31</w:t>
            </w:r>
          </w:p>
        </w:tc>
        <w:tc>
          <w:tcPr>
            <w:tcW w:w="1171" w:type="dxa"/>
            <w:vMerge w:val="restart"/>
            <w:tcBorders>
              <w:tl2br w:val="nil"/>
              <w:tr2bl w:val="nil"/>
            </w:tcBorders>
            <w:noWrap w:val="0"/>
            <w:tcMar>
              <w:top w:w="28" w:type="dxa"/>
              <w:left w:w="28" w:type="dxa"/>
              <w:bottom w:w="28" w:type="dxa"/>
              <w:right w:w="28" w:type="dxa"/>
            </w:tcMar>
            <w:vAlign w:val="center"/>
          </w:tcPr>
          <w:p w14:paraId="30CE2E3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持续优化建筑许可办理</w:t>
            </w:r>
          </w:p>
        </w:tc>
        <w:tc>
          <w:tcPr>
            <w:tcW w:w="2271" w:type="dxa"/>
            <w:tcBorders>
              <w:tl2br w:val="nil"/>
              <w:tr2bl w:val="nil"/>
            </w:tcBorders>
            <w:noWrap w:val="0"/>
            <w:tcMar>
              <w:top w:w="28" w:type="dxa"/>
              <w:left w:w="28" w:type="dxa"/>
              <w:bottom w:w="28" w:type="dxa"/>
              <w:right w:w="28" w:type="dxa"/>
            </w:tcMar>
            <w:vAlign w:val="center"/>
          </w:tcPr>
          <w:p w14:paraId="72B7B63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加强重大项目用地保障</w:t>
            </w:r>
          </w:p>
        </w:tc>
        <w:tc>
          <w:tcPr>
            <w:tcW w:w="4429" w:type="dxa"/>
            <w:tcBorders>
              <w:tl2br w:val="nil"/>
              <w:tr2bl w:val="nil"/>
            </w:tcBorders>
            <w:noWrap w:val="0"/>
            <w:tcMar>
              <w:top w:w="28" w:type="dxa"/>
              <w:left w:w="28" w:type="dxa"/>
              <w:bottom w:w="28" w:type="dxa"/>
              <w:right w:w="28" w:type="dxa"/>
            </w:tcMar>
            <w:vAlign w:val="center"/>
          </w:tcPr>
          <w:p w14:paraId="70F67B6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创新土地要素供给方式，降低企业用地成本，坚持“项目跟着规划走、要素跟着项目走”原则，对重大项目用地“应保尽保”。</w:t>
            </w:r>
          </w:p>
        </w:tc>
        <w:tc>
          <w:tcPr>
            <w:tcW w:w="2254" w:type="dxa"/>
            <w:tcBorders>
              <w:tl2br w:val="nil"/>
              <w:tr2bl w:val="nil"/>
            </w:tcBorders>
            <w:noWrap w:val="0"/>
            <w:tcMar>
              <w:top w:w="28" w:type="dxa"/>
              <w:left w:w="28" w:type="dxa"/>
              <w:bottom w:w="28" w:type="dxa"/>
              <w:right w:w="28" w:type="dxa"/>
            </w:tcMar>
            <w:vAlign w:val="center"/>
          </w:tcPr>
          <w:p w14:paraId="2B83340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2BEAE46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5FABE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9" w:hRule="atLeast"/>
          <w:jc w:val="center"/>
        </w:trPr>
        <w:tc>
          <w:tcPr>
            <w:tcW w:w="642" w:type="dxa"/>
            <w:tcBorders>
              <w:tl2br w:val="nil"/>
              <w:tr2bl w:val="nil"/>
            </w:tcBorders>
            <w:noWrap w:val="0"/>
            <w:tcMar>
              <w:top w:w="28" w:type="dxa"/>
              <w:left w:w="28" w:type="dxa"/>
              <w:bottom w:w="28" w:type="dxa"/>
              <w:right w:w="28" w:type="dxa"/>
            </w:tcMar>
            <w:vAlign w:val="center"/>
          </w:tcPr>
          <w:p w14:paraId="776B9E1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32</w:t>
            </w:r>
          </w:p>
        </w:tc>
        <w:tc>
          <w:tcPr>
            <w:tcW w:w="1171" w:type="dxa"/>
            <w:vMerge w:val="continue"/>
            <w:tcBorders>
              <w:tl2br w:val="nil"/>
              <w:tr2bl w:val="nil"/>
            </w:tcBorders>
            <w:noWrap w:val="0"/>
            <w:tcMar>
              <w:top w:w="28" w:type="dxa"/>
              <w:left w:w="28" w:type="dxa"/>
              <w:bottom w:w="28" w:type="dxa"/>
              <w:right w:w="28" w:type="dxa"/>
            </w:tcMar>
            <w:vAlign w:val="center"/>
          </w:tcPr>
          <w:p w14:paraId="1E77BAC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41832D9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推进“多审合一、多证合一”改革</w:t>
            </w:r>
          </w:p>
        </w:tc>
        <w:tc>
          <w:tcPr>
            <w:tcW w:w="4429" w:type="dxa"/>
            <w:tcBorders>
              <w:tl2br w:val="nil"/>
              <w:tr2bl w:val="nil"/>
            </w:tcBorders>
            <w:noWrap w:val="0"/>
            <w:tcMar>
              <w:top w:w="28" w:type="dxa"/>
              <w:left w:w="28" w:type="dxa"/>
              <w:bottom w:w="28" w:type="dxa"/>
              <w:right w:w="28" w:type="dxa"/>
            </w:tcMar>
            <w:vAlign w:val="center"/>
          </w:tcPr>
          <w:p w14:paraId="0F8C5CA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合并用地预审与规划选址、用地批准与建设用地规划许可、土地核验与规划核实等事项。持续深入推进“多测合一”，大力推进并联审批、联合审图、联合验收、区域评估等改革措施，推行依法“拿地即开工”、“竣工即投产”、“带标准上市”等模式。</w:t>
            </w:r>
          </w:p>
        </w:tc>
        <w:tc>
          <w:tcPr>
            <w:tcW w:w="2254" w:type="dxa"/>
            <w:tcBorders>
              <w:tl2br w:val="nil"/>
              <w:tr2bl w:val="nil"/>
            </w:tcBorders>
            <w:noWrap w:val="0"/>
            <w:tcMar>
              <w:top w:w="28" w:type="dxa"/>
              <w:left w:w="28" w:type="dxa"/>
              <w:bottom w:w="28" w:type="dxa"/>
              <w:right w:w="28" w:type="dxa"/>
            </w:tcMar>
            <w:vAlign w:val="center"/>
          </w:tcPr>
          <w:p w14:paraId="028CFC7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w:t>
            </w:r>
          </w:p>
        </w:tc>
        <w:tc>
          <w:tcPr>
            <w:tcW w:w="2329" w:type="dxa"/>
            <w:tcBorders>
              <w:tl2br w:val="nil"/>
              <w:tr2bl w:val="nil"/>
            </w:tcBorders>
            <w:noWrap w:val="0"/>
            <w:tcMar>
              <w:top w:w="28" w:type="dxa"/>
              <w:left w:w="28" w:type="dxa"/>
              <w:bottom w:w="28" w:type="dxa"/>
              <w:right w:w="28" w:type="dxa"/>
            </w:tcMar>
            <w:vAlign w:val="center"/>
          </w:tcPr>
          <w:p w14:paraId="13361A6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6DBEA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jc w:val="center"/>
        </w:trPr>
        <w:tc>
          <w:tcPr>
            <w:tcW w:w="642" w:type="dxa"/>
            <w:tcBorders>
              <w:tl2br w:val="nil"/>
              <w:tr2bl w:val="nil"/>
            </w:tcBorders>
            <w:noWrap w:val="0"/>
            <w:tcMar>
              <w:top w:w="28" w:type="dxa"/>
              <w:left w:w="28" w:type="dxa"/>
              <w:bottom w:w="28" w:type="dxa"/>
              <w:right w:w="28" w:type="dxa"/>
            </w:tcMar>
            <w:vAlign w:val="center"/>
          </w:tcPr>
          <w:p w14:paraId="25DD180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33</w:t>
            </w:r>
          </w:p>
        </w:tc>
        <w:tc>
          <w:tcPr>
            <w:tcW w:w="1171" w:type="dxa"/>
            <w:vMerge w:val="continue"/>
            <w:tcBorders>
              <w:tl2br w:val="nil"/>
              <w:tr2bl w:val="nil"/>
            </w:tcBorders>
            <w:noWrap w:val="0"/>
            <w:tcMar>
              <w:top w:w="28" w:type="dxa"/>
              <w:left w:w="28" w:type="dxa"/>
              <w:bottom w:w="28" w:type="dxa"/>
              <w:right w:w="28" w:type="dxa"/>
            </w:tcMar>
            <w:vAlign w:val="center"/>
          </w:tcPr>
          <w:p w14:paraId="63DF4DE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45EA07E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推行建筑工程分阶段施工许可模式</w:t>
            </w:r>
          </w:p>
        </w:tc>
        <w:tc>
          <w:tcPr>
            <w:tcW w:w="4429" w:type="dxa"/>
            <w:tcBorders>
              <w:tl2br w:val="nil"/>
              <w:tr2bl w:val="nil"/>
            </w:tcBorders>
            <w:noWrap w:val="0"/>
            <w:tcMar>
              <w:top w:w="28" w:type="dxa"/>
              <w:left w:w="28" w:type="dxa"/>
              <w:bottom w:w="28" w:type="dxa"/>
              <w:right w:w="28" w:type="dxa"/>
            </w:tcMar>
            <w:vAlign w:val="center"/>
          </w:tcPr>
          <w:p w14:paraId="4F6E457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按“基坑围护、主体工程底板以下、主体工程底板以上、装饰装修及室外附属工程”四个阶段办理施工许可。</w:t>
            </w:r>
          </w:p>
        </w:tc>
        <w:tc>
          <w:tcPr>
            <w:tcW w:w="2254" w:type="dxa"/>
            <w:tcBorders>
              <w:tl2br w:val="nil"/>
              <w:tr2bl w:val="nil"/>
            </w:tcBorders>
            <w:noWrap w:val="0"/>
            <w:tcMar>
              <w:top w:w="28" w:type="dxa"/>
              <w:left w:w="28" w:type="dxa"/>
              <w:bottom w:w="28" w:type="dxa"/>
              <w:right w:w="28" w:type="dxa"/>
            </w:tcMar>
            <w:vAlign w:val="center"/>
          </w:tcPr>
          <w:p w14:paraId="126B8FF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自治区住房城乡建设厅，各市、县人民政府</w:t>
            </w:r>
          </w:p>
        </w:tc>
        <w:tc>
          <w:tcPr>
            <w:tcW w:w="2329" w:type="dxa"/>
            <w:tcBorders>
              <w:tl2br w:val="nil"/>
              <w:tr2bl w:val="nil"/>
            </w:tcBorders>
            <w:noWrap w:val="0"/>
            <w:tcMar>
              <w:top w:w="28" w:type="dxa"/>
              <w:left w:w="28" w:type="dxa"/>
              <w:bottom w:w="28" w:type="dxa"/>
              <w:right w:w="28" w:type="dxa"/>
            </w:tcMar>
            <w:vAlign w:val="center"/>
          </w:tcPr>
          <w:p w14:paraId="640E434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w:t>
            </w:r>
          </w:p>
        </w:tc>
      </w:tr>
      <w:tr w14:paraId="050DE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6" w:hRule="atLeast"/>
          <w:jc w:val="center"/>
        </w:trPr>
        <w:tc>
          <w:tcPr>
            <w:tcW w:w="642" w:type="dxa"/>
            <w:tcBorders>
              <w:tl2br w:val="nil"/>
              <w:tr2bl w:val="nil"/>
            </w:tcBorders>
            <w:noWrap w:val="0"/>
            <w:tcMar>
              <w:top w:w="28" w:type="dxa"/>
              <w:left w:w="28" w:type="dxa"/>
              <w:bottom w:w="28" w:type="dxa"/>
              <w:right w:w="28" w:type="dxa"/>
            </w:tcMar>
            <w:vAlign w:val="center"/>
          </w:tcPr>
          <w:p w14:paraId="3D746B8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34</w:t>
            </w:r>
          </w:p>
        </w:tc>
        <w:tc>
          <w:tcPr>
            <w:tcW w:w="1171" w:type="dxa"/>
            <w:vMerge w:val="continue"/>
            <w:tcBorders>
              <w:tl2br w:val="nil"/>
              <w:tr2bl w:val="nil"/>
            </w:tcBorders>
            <w:noWrap w:val="0"/>
            <w:tcMar>
              <w:top w:w="28" w:type="dxa"/>
              <w:left w:w="28" w:type="dxa"/>
              <w:bottom w:w="28" w:type="dxa"/>
              <w:right w:w="28" w:type="dxa"/>
            </w:tcMar>
            <w:vAlign w:val="center"/>
          </w:tcPr>
          <w:p w14:paraId="4100D20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0BE0340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开展工业项目“分期验收”</w:t>
            </w:r>
          </w:p>
        </w:tc>
        <w:tc>
          <w:tcPr>
            <w:tcW w:w="4429" w:type="dxa"/>
            <w:tcBorders>
              <w:tl2br w:val="nil"/>
              <w:tr2bl w:val="nil"/>
            </w:tcBorders>
            <w:noWrap w:val="0"/>
            <w:tcMar>
              <w:top w:w="28" w:type="dxa"/>
              <w:left w:w="28" w:type="dxa"/>
              <w:bottom w:w="28" w:type="dxa"/>
              <w:right w:w="28" w:type="dxa"/>
            </w:tcMar>
            <w:vAlign w:val="center"/>
          </w:tcPr>
          <w:p w14:paraId="0EC18BB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将工业项目“先竣工、再验收、后投产”改为建筑单体“先验收、先投产、先融资”模式，实现竣工一幢、验收一幢、登记一幢，助力企业提前盘活资产、缓解融资压力。</w:t>
            </w:r>
          </w:p>
        </w:tc>
        <w:tc>
          <w:tcPr>
            <w:tcW w:w="2254" w:type="dxa"/>
            <w:tcBorders>
              <w:tl2br w:val="nil"/>
              <w:tr2bl w:val="nil"/>
            </w:tcBorders>
            <w:noWrap w:val="0"/>
            <w:tcMar>
              <w:top w:w="28" w:type="dxa"/>
              <w:left w:w="28" w:type="dxa"/>
              <w:bottom w:w="28" w:type="dxa"/>
              <w:right w:w="28" w:type="dxa"/>
            </w:tcMar>
            <w:vAlign w:val="center"/>
          </w:tcPr>
          <w:p w14:paraId="38DF543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自治区住房城乡建设厅，各市、县人民政府</w:t>
            </w:r>
          </w:p>
        </w:tc>
        <w:tc>
          <w:tcPr>
            <w:tcW w:w="2329" w:type="dxa"/>
            <w:tcBorders>
              <w:tl2br w:val="nil"/>
              <w:tr2bl w:val="nil"/>
            </w:tcBorders>
            <w:noWrap w:val="0"/>
            <w:tcMar>
              <w:top w:w="28" w:type="dxa"/>
              <w:left w:w="28" w:type="dxa"/>
              <w:bottom w:w="28" w:type="dxa"/>
              <w:right w:w="28" w:type="dxa"/>
            </w:tcMar>
            <w:vAlign w:val="center"/>
          </w:tcPr>
          <w:p w14:paraId="4C16E34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w:t>
            </w:r>
          </w:p>
        </w:tc>
      </w:tr>
      <w:tr w14:paraId="08441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3" w:hRule="atLeast"/>
          <w:jc w:val="center"/>
        </w:trPr>
        <w:tc>
          <w:tcPr>
            <w:tcW w:w="642" w:type="dxa"/>
            <w:tcBorders>
              <w:tl2br w:val="nil"/>
              <w:tr2bl w:val="nil"/>
            </w:tcBorders>
            <w:noWrap w:val="0"/>
            <w:tcMar>
              <w:top w:w="28" w:type="dxa"/>
              <w:left w:w="28" w:type="dxa"/>
              <w:bottom w:w="28" w:type="dxa"/>
              <w:right w:w="28" w:type="dxa"/>
            </w:tcMar>
            <w:vAlign w:val="center"/>
          </w:tcPr>
          <w:p w14:paraId="34C91F4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35</w:t>
            </w:r>
          </w:p>
        </w:tc>
        <w:tc>
          <w:tcPr>
            <w:tcW w:w="1171" w:type="dxa"/>
            <w:vMerge w:val="restart"/>
            <w:tcBorders>
              <w:tl2br w:val="nil"/>
              <w:tr2bl w:val="nil"/>
            </w:tcBorders>
            <w:noWrap w:val="0"/>
            <w:tcMar>
              <w:top w:w="28" w:type="dxa"/>
              <w:left w:w="28" w:type="dxa"/>
              <w:bottom w:w="28" w:type="dxa"/>
              <w:right w:w="28" w:type="dxa"/>
            </w:tcMar>
            <w:vAlign w:val="center"/>
          </w:tcPr>
          <w:p w14:paraId="0D7169D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持续优化建筑许可办理</w:t>
            </w:r>
          </w:p>
        </w:tc>
        <w:tc>
          <w:tcPr>
            <w:tcW w:w="2271" w:type="dxa"/>
            <w:tcBorders>
              <w:tl2br w:val="nil"/>
              <w:tr2bl w:val="nil"/>
            </w:tcBorders>
            <w:noWrap w:val="0"/>
            <w:tcMar>
              <w:top w:w="28" w:type="dxa"/>
              <w:left w:w="28" w:type="dxa"/>
              <w:bottom w:w="28" w:type="dxa"/>
              <w:right w:w="28" w:type="dxa"/>
            </w:tcMar>
            <w:vAlign w:val="center"/>
          </w:tcPr>
          <w:p w14:paraId="0983C76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推进工程档案“无纸化”</w:t>
            </w:r>
          </w:p>
        </w:tc>
        <w:tc>
          <w:tcPr>
            <w:tcW w:w="4429" w:type="dxa"/>
            <w:tcBorders>
              <w:tl2br w:val="nil"/>
              <w:tr2bl w:val="nil"/>
            </w:tcBorders>
            <w:noWrap w:val="0"/>
            <w:tcMar>
              <w:top w:w="28" w:type="dxa"/>
              <w:left w:w="28" w:type="dxa"/>
              <w:bottom w:w="28" w:type="dxa"/>
              <w:right w:w="28" w:type="dxa"/>
            </w:tcMar>
            <w:vAlign w:val="center"/>
          </w:tcPr>
          <w:p w14:paraId="07AD40E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实施工程电子文件归集服务改革，打通工程审批、全过程图纸和工程建设三大管理系统，推动工程文件全过程数字化，实现竣工图在线编制、一键生成。</w:t>
            </w:r>
          </w:p>
        </w:tc>
        <w:tc>
          <w:tcPr>
            <w:tcW w:w="2254" w:type="dxa"/>
            <w:tcBorders>
              <w:tl2br w:val="nil"/>
              <w:tr2bl w:val="nil"/>
            </w:tcBorders>
            <w:noWrap w:val="0"/>
            <w:tcMar>
              <w:top w:w="28" w:type="dxa"/>
              <w:left w:w="28" w:type="dxa"/>
              <w:bottom w:w="28" w:type="dxa"/>
              <w:right w:w="28" w:type="dxa"/>
            </w:tcMar>
            <w:vAlign w:val="center"/>
          </w:tcPr>
          <w:p w14:paraId="68252FC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自治区住房城乡建设厅，各市、县人民政府</w:t>
            </w:r>
          </w:p>
        </w:tc>
        <w:tc>
          <w:tcPr>
            <w:tcW w:w="2329" w:type="dxa"/>
            <w:tcBorders>
              <w:tl2br w:val="nil"/>
              <w:tr2bl w:val="nil"/>
            </w:tcBorders>
            <w:noWrap w:val="0"/>
            <w:tcMar>
              <w:top w:w="28" w:type="dxa"/>
              <w:left w:w="28" w:type="dxa"/>
              <w:bottom w:w="28" w:type="dxa"/>
              <w:right w:w="28" w:type="dxa"/>
            </w:tcMar>
            <w:vAlign w:val="center"/>
          </w:tcPr>
          <w:p w14:paraId="58F18C9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w:t>
            </w:r>
          </w:p>
        </w:tc>
      </w:tr>
      <w:tr w14:paraId="4EB32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jc w:val="center"/>
        </w:trPr>
        <w:tc>
          <w:tcPr>
            <w:tcW w:w="642" w:type="dxa"/>
            <w:tcBorders>
              <w:tl2br w:val="nil"/>
              <w:tr2bl w:val="nil"/>
            </w:tcBorders>
            <w:noWrap w:val="0"/>
            <w:tcMar>
              <w:top w:w="28" w:type="dxa"/>
              <w:left w:w="28" w:type="dxa"/>
              <w:bottom w:w="28" w:type="dxa"/>
              <w:right w:w="28" w:type="dxa"/>
            </w:tcMar>
            <w:vAlign w:val="center"/>
          </w:tcPr>
          <w:p w14:paraId="74C38B7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36</w:t>
            </w:r>
          </w:p>
        </w:tc>
        <w:tc>
          <w:tcPr>
            <w:tcW w:w="1171" w:type="dxa"/>
            <w:vMerge w:val="continue"/>
            <w:tcBorders>
              <w:tl2br w:val="nil"/>
              <w:tr2bl w:val="nil"/>
            </w:tcBorders>
            <w:noWrap w:val="0"/>
            <w:tcMar>
              <w:top w:w="28" w:type="dxa"/>
              <w:left w:w="28" w:type="dxa"/>
              <w:bottom w:w="28" w:type="dxa"/>
              <w:right w:w="28" w:type="dxa"/>
            </w:tcMar>
            <w:vAlign w:val="center"/>
          </w:tcPr>
          <w:p w14:paraId="2835243C">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4C2B7B7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探索建立工程项目全生命周期信息化管理体系</w:t>
            </w:r>
          </w:p>
        </w:tc>
        <w:tc>
          <w:tcPr>
            <w:tcW w:w="4429" w:type="dxa"/>
            <w:tcBorders>
              <w:tl2br w:val="nil"/>
              <w:tr2bl w:val="nil"/>
            </w:tcBorders>
            <w:noWrap w:val="0"/>
            <w:tcMar>
              <w:top w:w="28" w:type="dxa"/>
              <w:left w:w="28" w:type="dxa"/>
              <w:bottom w:w="28" w:type="dxa"/>
              <w:right w:w="28" w:type="dxa"/>
            </w:tcMar>
            <w:vAlign w:val="center"/>
          </w:tcPr>
          <w:p w14:paraId="6B05BCB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探索“一码管地”、“一码管房”，基于不动产单元代码，构建业务协同、数据互通、资料共享、结果互认的建设工程项目全生命周期信息化管理体系。</w:t>
            </w:r>
          </w:p>
        </w:tc>
        <w:tc>
          <w:tcPr>
            <w:tcW w:w="2254" w:type="dxa"/>
            <w:tcBorders>
              <w:tl2br w:val="nil"/>
              <w:tr2bl w:val="nil"/>
            </w:tcBorders>
            <w:noWrap w:val="0"/>
            <w:tcMar>
              <w:top w:w="28" w:type="dxa"/>
              <w:left w:w="28" w:type="dxa"/>
              <w:bottom w:w="28" w:type="dxa"/>
              <w:right w:w="28" w:type="dxa"/>
            </w:tcMar>
            <w:vAlign w:val="center"/>
          </w:tcPr>
          <w:p w14:paraId="35C1382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6FC36E6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3DC79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4" w:hRule="atLeast"/>
          <w:jc w:val="center"/>
        </w:trPr>
        <w:tc>
          <w:tcPr>
            <w:tcW w:w="642" w:type="dxa"/>
            <w:tcBorders>
              <w:tl2br w:val="nil"/>
              <w:tr2bl w:val="nil"/>
            </w:tcBorders>
            <w:noWrap w:val="0"/>
            <w:tcMar>
              <w:top w:w="28" w:type="dxa"/>
              <w:left w:w="28" w:type="dxa"/>
              <w:bottom w:w="28" w:type="dxa"/>
              <w:right w:w="28" w:type="dxa"/>
            </w:tcMar>
            <w:vAlign w:val="center"/>
          </w:tcPr>
          <w:p w14:paraId="0657C9A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37</w:t>
            </w:r>
          </w:p>
        </w:tc>
        <w:tc>
          <w:tcPr>
            <w:tcW w:w="1171" w:type="dxa"/>
            <w:vMerge w:val="restart"/>
            <w:tcBorders>
              <w:tl2br w:val="nil"/>
              <w:tr2bl w:val="nil"/>
            </w:tcBorders>
            <w:noWrap w:val="0"/>
            <w:tcMar>
              <w:top w:w="28" w:type="dxa"/>
              <w:left w:w="28" w:type="dxa"/>
              <w:bottom w:w="28" w:type="dxa"/>
              <w:right w:w="28" w:type="dxa"/>
            </w:tcMar>
            <w:vAlign w:val="center"/>
          </w:tcPr>
          <w:p w14:paraId="6C8731A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提升不动产登记便利度</w:t>
            </w:r>
          </w:p>
        </w:tc>
        <w:tc>
          <w:tcPr>
            <w:tcW w:w="2271" w:type="dxa"/>
            <w:vMerge w:val="restart"/>
            <w:tcBorders>
              <w:tl2br w:val="nil"/>
              <w:tr2bl w:val="nil"/>
            </w:tcBorders>
            <w:noWrap w:val="0"/>
            <w:tcMar>
              <w:top w:w="28" w:type="dxa"/>
              <w:left w:w="28" w:type="dxa"/>
              <w:bottom w:w="28" w:type="dxa"/>
              <w:right w:w="28" w:type="dxa"/>
            </w:tcMar>
            <w:vAlign w:val="center"/>
          </w:tcPr>
          <w:p w14:paraId="65EDFD1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全面提升“全程网办”、“一网通办”效能</w:t>
            </w:r>
          </w:p>
        </w:tc>
        <w:tc>
          <w:tcPr>
            <w:tcW w:w="4429" w:type="dxa"/>
            <w:tcBorders>
              <w:tl2br w:val="nil"/>
              <w:tr2bl w:val="nil"/>
            </w:tcBorders>
            <w:noWrap w:val="0"/>
            <w:tcMar>
              <w:top w:w="28" w:type="dxa"/>
              <w:left w:w="28" w:type="dxa"/>
              <w:bottom w:w="28" w:type="dxa"/>
              <w:right w:w="28" w:type="dxa"/>
            </w:tcMar>
            <w:vAlign w:val="center"/>
          </w:tcPr>
          <w:p w14:paraId="2B239F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进一步拓展“互联网</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不动产登记”网上办事事项范围，加快实现不动产登记全业务类型“网上可办、掌上好办”，全面提升转移登记、抵押登记等高频业务网上办理比例。</w:t>
            </w:r>
          </w:p>
        </w:tc>
        <w:tc>
          <w:tcPr>
            <w:tcW w:w="2254" w:type="dxa"/>
            <w:tcBorders>
              <w:tl2br w:val="nil"/>
              <w:tr2bl w:val="nil"/>
            </w:tcBorders>
            <w:noWrap w:val="0"/>
            <w:tcMar>
              <w:top w:w="28" w:type="dxa"/>
              <w:left w:w="28" w:type="dxa"/>
              <w:bottom w:w="28" w:type="dxa"/>
              <w:right w:w="28" w:type="dxa"/>
            </w:tcMar>
            <w:vAlign w:val="center"/>
          </w:tcPr>
          <w:p w14:paraId="24AE26B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0C8F74B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49EF6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jc w:val="center"/>
        </w:trPr>
        <w:tc>
          <w:tcPr>
            <w:tcW w:w="642" w:type="dxa"/>
            <w:tcBorders>
              <w:tl2br w:val="nil"/>
              <w:tr2bl w:val="nil"/>
            </w:tcBorders>
            <w:noWrap w:val="0"/>
            <w:tcMar>
              <w:top w:w="28" w:type="dxa"/>
              <w:left w:w="28" w:type="dxa"/>
              <w:bottom w:w="28" w:type="dxa"/>
              <w:right w:w="28" w:type="dxa"/>
            </w:tcMar>
            <w:vAlign w:val="center"/>
          </w:tcPr>
          <w:p w14:paraId="37F5D3E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38</w:t>
            </w:r>
          </w:p>
        </w:tc>
        <w:tc>
          <w:tcPr>
            <w:tcW w:w="1171" w:type="dxa"/>
            <w:vMerge w:val="continue"/>
            <w:tcBorders>
              <w:tl2br w:val="nil"/>
              <w:tr2bl w:val="nil"/>
            </w:tcBorders>
            <w:noWrap w:val="0"/>
            <w:tcMar>
              <w:top w:w="28" w:type="dxa"/>
              <w:left w:w="28" w:type="dxa"/>
              <w:bottom w:w="28" w:type="dxa"/>
              <w:right w:w="28" w:type="dxa"/>
            </w:tcMar>
            <w:vAlign w:val="center"/>
          </w:tcPr>
          <w:p w14:paraId="506801A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lang w:val="en-US" w:eastAsia="zh-CN" w:bidi="ar"/>
              </w:rPr>
            </w:pPr>
          </w:p>
        </w:tc>
        <w:tc>
          <w:tcPr>
            <w:tcW w:w="2271" w:type="dxa"/>
            <w:vMerge w:val="continue"/>
            <w:tcBorders>
              <w:tl2br w:val="nil"/>
              <w:tr2bl w:val="nil"/>
            </w:tcBorders>
            <w:noWrap w:val="0"/>
            <w:tcMar>
              <w:top w:w="28" w:type="dxa"/>
              <w:left w:w="28" w:type="dxa"/>
              <w:bottom w:w="28" w:type="dxa"/>
              <w:right w:w="28" w:type="dxa"/>
            </w:tcMar>
            <w:vAlign w:val="center"/>
          </w:tcPr>
          <w:p w14:paraId="7179106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4429" w:type="dxa"/>
            <w:tcBorders>
              <w:tl2br w:val="nil"/>
              <w:tr2bl w:val="nil"/>
            </w:tcBorders>
            <w:noWrap w:val="0"/>
            <w:tcMar>
              <w:top w:w="28" w:type="dxa"/>
              <w:left w:w="28" w:type="dxa"/>
              <w:bottom w:w="28" w:type="dxa"/>
              <w:right w:w="28" w:type="dxa"/>
            </w:tcMar>
            <w:vAlign w:val="center"/>
          </w:tcPr>
          <w:p w14:paraId="3A0BD29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加快建立以“全程网办”为主，以线下帮办为辅的一体化“跨省通办”服务机制。</w:t>
            </w:r>
          </w:p>
        </w:tc>
        <w:tc>
          <w:tcPr>
            <w:tcW w:w="2254" w:type="dxa"/>
            <w:tcBorders>
              <w:tl2br w:val="nil"/>
              <w:tr2bl w:val="nil"/>
            </w:tcBorders>
            <w:noWrap w:val="0"/>
            <w:tcMar>
              <w:top w:w="28" w:type="dxa"/>
              <w:left w:w="28" w:type="dxa"/>
              <w:bottom w:w="28" w:type="dxa"/>
              <w:right w:w="28" w:type="dxa"/>
            </w:tcMar>
            <w:vAlign w:val="center"/>
          </w:tcPr>
          <w:p w14:paraId="05F3EA1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68D0FCF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59551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4D17F8B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39</w:t>
            </w:r>
          </w:p>
        </w:tc>
        <w:tc>
          <w:tcPr>
            <w:tcW w:w="1171" w:type="dxa"/>
            <w:vMerge w:val="restart"/>
            <w:tcBorders>
              <w:tl2br w:val="nil"/>
              <w:tr2bl w:val="nil"/>
            </w:tcBorders>
            <w:noWrap w:val="0"/>
            <w:tcMar>
              <w:top w:w="28" w:type="dxa"/>
              <w:left w:w="28" w:type="dxa"/>
              <w:bottom w:w="28" w:type="dxa"/>
              <w:right w:w="28" w:type="dxa"/>
            </w:tcMar>
            <w:vAlign w:val="center"/>
          </w:tcPr>
          <w:p w14:paraId="413278D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提升不动产登记便利度</w:t>
            </w:r>
          </w:p>
        </w:tc>
        <w:tc>
          <w:tcPr>
            <w:tcW w:w="2271" w:type="dxa"/>
            <w:tcBorders>
              <w:tl2br w:val="nil"/>
              <w:tr2bl w:val="nil"/>
            </w:tcBorders>
            <w:noWrap w:val="0"/>
            <w:tcMar>
              <w:top w:w="28" w:type="dxa"/>
              <w:left w:w="28" w:type="dxa"/>
              <w:bottom w:w="28" w:type="dxa"/>
              <w:right w:w="28" w:type="dxa"/>
            </w:tcMar>
            <w:vAlign w:val="center"/>
          </w:tcPr>
          <w:p w14:paraId="4091D46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创新服务项目建设全生命周期“同步办结”</w:t>
            </w:r>
          </w:p>
        </w:tc>
        <w:tc>
          <w:tcPr>
            <w:tcW w:w="4429" w:type="dxa"/>
            <w:tcBorders>
              <w:tl2br w:val="nil"/>
              <w:tr2bl w:val="nil"/>
            </w:tcBorders>
            <w:noWrap w:val="0"/>
            <w:tcMar>
              <w:top w:w="28" w:type="dxa"/>
              <w:left w:w="28" w:type="dxa"/>
              <w:bottom w:w="28" w:type="dxa"/>
              <w:right w:w="28" w:type="dxa"/>
            </w:tcMar>
            <w:vAlign w:val="center"/>
          </w:tcPr>
          <w:p w14:paraId="797DC77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建立健全信息共享、并行办理机制，常态化开展“交地即交证”、“竣工即交证”、“交房即交证”。</w:t>
            </w:r>
          </w:p>
        </w:tc>
        <w:tc>
          <w:tcPr>
            <w:tcW w:w="2254" w:type="dxa"/>
            <w:tcBorders>
              <w:tl2br w:val="nil"/>
              <w:tr2bl w:val="nil"/>
            </w:tcBorders>
            <w:noWrap w:val="0"/>
            <w:tcMar>
              <w:top w:w="28" w:type="dxa"/>
              <w:left w:w="28" w:type="dxa"/>
              <w:bottom w:w="28" w:type="dxa"/>
              <w:right w:w="28" w:type="dxa"/>
            </w:tcMar>
            <w:vAlign w:val="center"/>
          </w:tcPr>
          <w:p w14:paraId="04DA2CB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6FE0701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ED3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7F5B0CD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40</w:t>
            </w:r>
          </w:p>
        </w:tc>
        <w:tc>
          <w:tcPr>
            <w:tcW w:w="1171" w:type="dxa"/>
            <w:vMerge w:val="continue"/>
            <w:tcBorders>
              <w:tl2br w:val="nil"/>
              <w:tr2bl w:val="nil"/>
            </w:tcBorders>
            <w:noWrap w:val="0"/>
            <w:tcMar>
              <w:top w:w="28" w:type="dxa"/>
              <w:left w:w="28" w:type="dxa"/>
              <w:bottom w:w="28" w:type="dxa"/>
              <w:right w:w="28" w:type="dxa"/>
            </w:tcMar>
            <w:vAlign w:val="center"/>
          </w:tcPr>
          <w:p w14:paraId="5BC9535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094CE2C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主动提高不动产登记服务水平</w:t>
            </w:r>
          </w:p>
        </w:tc>
        <w:tc>
          <w:tcPr>
            <w:tcW w:w="4429" w:type="dxa"/>
            <w:tcBorders>
              <w:tl2br w:val="nil"/>
              <w:tr2bl w:val="nil"/>
            </w:tcBorders>
            <w:noWrap w:val="0"/>
            <w:tcMar>
              <w:top w:w="28" w:type="dxa"/>
              <w:left w:w="28" w:type="dxa"/>
              <w:bottom w:w="28" w:type="dxa"/>
              <w:right w:w="28" w:type="dxa"/>
            </w:tcMar>
            <w:vAlign w:val="center"/>
          </w:tcPr>
          <w:p w14:paraId="0B36B41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进一步优化完善服务企业专窗，为企业办理不动产登记常态化提供“绿色通道”。</w:t>
            </w:r>
          </w:p>
        </w:tc>
        <w:tc>
          <w:tcPr>
            <w:tcW w:w="2254" w:type="dxa"/>
            <w:tcBorders>
              <w:tl2br w:val="nil"/>
              <w:tr2bl w:val="nil"/>
            </w:tcBorders>
            <w:noWrap w:val="0"/>
            <w:tcMar>
              <w:top w:w="28" w:type="dxa"/>
              <w:left w:w="28" w:type="dxa"/>
              <w:bottom w:w="28" w:type="dxa"/>
              <w:right w:w="28" w:type="dxa"/>
            </w:tcMar>
            <w:vAlign w:val="center"/>
          </w:tcPr>
          <w:p w14:paraId="6B98C49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7FF70BE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25D9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1387BCA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41</w:t>
            </w:r>
          </w:p>
        </w:tc>
        <w:tc>
          <w:tcPr>
            <w:tcW w:w="1171" w:type="dxa"/>
            <w:vMerge w:val="continue"/>
            <w:tcBorders>
              <w:tl2br w:val="nil"/>
              <w:tr2bl w:val="nil"/>
            </w:tcBorders>
            <w:noWrap w:val="0"/>
            <w:tcMar>
              <w:top w:w="28" w:type="dxa"/>
              <w:left w:w="28" w:type="dxa"/>
              <w:bottom w:w="28" w:type="dxa"/>
              <w:right w:w="28" w:type="dxa"/>
            </w:tcMar>
            <w:vAlign w:val="center"/>
          </w:tcPr>
          <w:p w14:paraId="01D6313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380EC06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持续强化登记、交易、缴税、抵押等业务高效协同</w:t>
            </w:r>
          </w:p>
        </w:tc>
        <w:tc>
          <w:tcPr>
            <w:tcW w:w="4429" w:type="dxa"/>
            <w:tcBorders>
              <w:tl2br w:val="nil"/>
              <w:tr2bl w:val="nil"/>
            </w:tcBorders>
            <w:noWrap w:val="0"/>
            <w:tcMar>
              <w:top w:w="28" w:type="dxa"/>
              <w:left w:w="28" w:type="dxa"/>
              <w:bottom w:w="28" w:type="dxa"/>
              <w:right w:w="28" w:type="dxa"/>
            </w:tcMar>
            <w:vAlign w:val="center"/>
          </w:tcPr>
          <w:p w14:paraId="00282BD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全面实行不动产登记税费“一次收缴，自动清分”，加快应用数字化电子发票，推动代开发票业务网上可办，为纳税人提供代开发票服务。</w:t>
            </w:r>
          </w:p>
        </w:tc>
        <w:tc>
          <w:tcPr>
            <w:tcW w:w="2254" w:type="dxa"/>
            <w:tcBorders>
              <w:tl2br w:val="nil"/>
              <w:tr2bl w:val="nil"/>
            </w:tcBorders>
            <w:noWrap w:val="0"/>
            <w:tcMar>
              <w:top w:w="28" w:type="dxa"/>
              <w:left w:w="28" w:type="dxa"/>
              <w:bottom w:w="28" w:type="dxa"/>
              <w:right w:w="28" w:type="dxa"/>
            </w:tcMar>
            <w:vAlign w:val="center"/>
          </w:tcPr>
          <w:p w14:paraId="65CCEE7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自治区自然资源厅、财政厅，广西税务局</w:t>
            </w:r>
          </w:p>
        </w:tc>
        <w:tc>
          <w:tcPr>
            <w:tcW w:w="2329" w:type="dxa"/>
            <w:tcBorders>
              <w:tl2br w:val="nil"/>
              <w:tr2bl w:val="nil"/>
            </w:tcBorders>
            <w:noWrap w:val="0"/>
            <w:tcMar>
              <w:top w:w="28" w:type="dxa"/>
              <w:left w:w="28" w:type="dxa"/>
              <w:bottom w:w="28" w:type="dxa"/>
              <w:right w:w="28" w:type="dxa"/>
            </w:tcMar>
            <w:vAlign w:val="center"/>
          </w:tcPr>
          <w:p w14:paraId="4392290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66AB7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692DEBB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42</w:t>
            </w:r>
          </w:p>
        </w:tc>
        <w:tc>
          <w:tcPr>
            <w:tcW w:w="1171" w:type="dxa"/>
            <w:vMerge w:val="continue"/>
            <w:tcBorders>
              <w:tl2br w:val="nil"/>
              <w:tr2bl w:val="nil"/>
            </w:tcBorders>
            <w:noWrap w:val="0"/>
            <w:tcMar>
              <w:top w:w="28" w:type="dxa"/>
              <w:left w:w="28" w:type="dxa"/>
              <w:bottom w:w="28" w:type="dxa"/>
              <w:right w:w="28" w:type="dxa"/>
            </w:tcMar>
            <w:vAlign w:val="center"/>
          </w:tcPr>
          <w:p w14:paraId="58DA484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129BF71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全面推动登记服务扩面增效</w:t>
            </w:r>
          </w:p>
        </w:tc>
        <w:tc>
          <w:tcPr>
            <w:tcW w:w="4429" w:type="dxa"/>
            <w:tcBorders>
              <w:tl2br w:val="nil"/>
              <w:tr2bl w:val="nil"/>
            </w:tcBorders>
            <w:noWrap w:val="0"/>
            <w:tcMar>
              <w:top w:w="28" w:type="dxa"/>
              <w:left w:w="28" w:type="dxa"/>
              <w:bottom w:w="28" w:type="dxa"/>
              <w:right w:w="28" w:type="dxa"/>
            </w:tcMar>
            <w:vAlign w:val="center"/>
          </w:tcPr>
          <w:p w14:paraId="368B228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积极开展延伸延时服务，在乡镇（街道）、村（社区）、银行网点、邮政网点、园区等有条件的地方，设置不动产登记便民服务点，方便群众“就近办、随时办”。</w:t>
            </w:r>
          </w:p>
        </w:tc>
        <w:tc>
          <w:tcPr>
            <w:tcW w:w="2254" w:type="dxa"/>
            <w:tcBorders>
              <w:tl2br w:val="nil"/>
              <w:tr2bl w:val="nil"/>
            </w:tcBorders>
            <w:noWrap w:val="0"/>
            <w:tcMar>
              <w:top w:w="28" w:type="dxa"/>
              <w:left w:w="28" w:type="dxa"/>
              <w:bottom w:w="28" w:type="dxa"/>
              <w:right w:w="28" w:type="dxa"/>
            </w:tcMar>
            <w:vAlign w:val="center"/>
          </w:tcPr>
          <w:p w14:paraId="1903C83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自治区自然资源厅</w:t>
            </w:r>
          </w:p>
        </w:tc>
        <w:tc>
          <w:tcPr>
            <w:tcW w:w="2329" w:type="dxa"/>
            <w:tcBorders>
              <w:tl2br w:val="nil"/>
              <w:tr2bl w:val="nil"/>
            </w:tcBorders>
            <w:noWrap w:val="0"/>
            <w:tcMar>
              <w:top w:w="28" w:type="dxa"/>
              <w:left w:w="28" w:type="dxa"/>
              <w:bottom w:w="28" w:type="dxa"/>
              <w:right w:w="28" w:type="dxa"/>
            </w:tcMar>
            <w:vAlign w:val="center"/>
          </w:tcPr>
          <w:p w14:paraId="3A90379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02EC3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4EAE8E2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43</w:t>
            </w:r>
          </w:p>
        </w:tc>
        <w:tc>
          <w:tcPr>
            <w:tcW w:w="1171" w:type="dxa"/>
            <w:tcBorders>
              <w:tl2br w:val="nil"/>
              <w:tr2bl w:val="nil"/>
            </w:tcBorders>
            <w:noWrap w:val="0"/>
            <w:tcMar>
              <w:top w:w="28" w:type="dxa"/>
              <w:left w:w="28" w:type="dxa"/>
              <w:bottom w:w="28" w:type="dxa"/>
              <w:right w:w="28" w:type="dxa"/>
            </w:tcMar>
            <w:vAlign w:val="center"/>
          </w:tcPr>
          <w:p w14:paraId="73EFD3D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进一步优化纳税服务</w:t>
            </w:r>
          </w:p>
        </w:tc>
        <w:tc>
          <w:tcPr>
            <w:tcW w:w="2271" w:type="dxa"/>
            <w:tcBorders>
              <w:tl2br w:val="nil"/>
              <w:tr2bl w:val="nil"/>
            </w:tcBorders>
            <w:noWrap w:val="0"/>
            <w:tcMar>
              <w:top w:w="28" w:type="dxa"/>
              <w:left w:w="28" w:type="dxa"/>
              <w:bottom w:w="28" w:type="dxa"/>
              <w:right w:w="28" w:type="dxa"/>
            </w:tcMar>
            <w:vAlign w:val="center"/>
          </w:tcPr>
          <w:p w14:paraId="7CB1821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提升税费政策清晰度和透明度</w:t>
            </w:r>
          </w:p>
        </w:tc>
        <w:tc>
          <w:tcPr>
            <w:tcW w:w="4429" w:type="dxa"/>
            <w:tcBorders>
              <w:tl2br w:val="nil"/>
              <w:tr2bl w:val="nil"/>
            </w:tcBorders>
            <w:noWrap w:val="0"/>
            <w:tcMar>
              <w:top w:w="28" w:type="dxa"/>
              <w:left w:w="28" w:type="dxa"/>
              <w:bottom w:w="28" w:type="dxa"/>
              <w:right w:w="28" w:type="dxa"/>
            </w:tcMar>
            <w:vAlign w:val="center"/>
          </w:tcPr>
          <w:p w14:paraId="4FCBC4D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聚焦科技创新、绿色转型、先进制造业发展、双循环便利地建设等重点领域，进一步做好政策梳理和宣传解读，持续深化“政策找人”，促进政策直达快享。</w:t>
            </w:r>
          </w:p>
        </w:tc>
        <w:tc>
          <w:tcPr>
            <w:tcW w:w="2254" w:type="dxa"/>
            <w:tcBorders>
              <w:tl2br w:val="nil"/>
              <w:tr2bl w:val="nil"/>
            </w:tcBorders>
            <w:noWrap w:val="0"/>
            <w:tcMar>
              <w:top w:w="28" w:type="dxa"/>
              <w:left w:w="28" w:type="dxa"/>
              <w:bottom w:w="28" w:type="dxa"/>
              <w:right w:w="28" w:type="dxa"/>
            </w:tcMar>
            <w:vAlign w:val="center"/>
          </w:tcPr>
          <w:p w14:paraId="6DA4DD2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03BF5DA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6E23A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jc w:val="center"/>
        </w:trPr>
        <w:tc>
          <w:tcPr>
            <w:tcW w:w="642" w:type="dxa"/>
            <w:tcBorders>
              <w:tl2br w:val="nil"/>
              <w:tr2bl w:val="nil"/>
            </w:tcBorders>
            <w:noWrap w:val="0"/>
            <w:tcMar>
              <w:top w:w="28" w:type="dxa"/>
              <w:left w:w="28" w:type="dxa"/>
              <w:bottom w:w="28" w:type="dxa"/>
              <w:right w:w="28" w:type="dxa"/>
            </w:tcMar>
            <w:vAlign w:val="center"/>
          </w:tcPr>
          <w:p w14:paraId="00F95F1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44</w:t>
            </w:r>
          </w:p>
        </w:tc>
        <w:tc>
          <w:tcPr>
            <w:tcW w:w="1171" w:type="dxa"/>
            <w:vMerge w:val="restart"/>
            <w:tcBorders>
              <w:tl2br w:val="nil"/>
              <w:tr2bl w:val="nil"/>
            </w:tcBorders>
            <w:noWrap w:val="0"/>
            <w:tcMar>
              <w:top w:w="28" w:type="dxa"/>
              <w:left w:w="28" w:type="dxa"/>
              <w:bottom w:w="28" w:type="dxa"/>
              <w:right w:w="28" w:type="dxa"/>
            </w:tcMar>
            <w:vAlign w:val="center"/>
          </w:tcPr>
          <w:p w14:paraId="48C5C03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进一步优化纳税服务</w:t>
            </w:r>
          </w:p>
        </w:tc>
        <w:tc>
          <w:tcPr>
            <w:tcW w:w="2271" w:type="dxa"/>
            <w:vMerge w:val="restart"/>
            <w:tcBorders>
              <w:tl2br w:val="nil"/>
              <w:tr2bl w:val="nil"/>
            </w:tcBorders>
            <w:noWrap w:val="0"/>
            <w:tcMar>
              <w:top w:w="28" w:type="dxa"/>
              <w:left w:w="28" w:type="dxa"/>
              <w:bottom w:w="28" w:type="dxa"/>
              <w:right w:w="28" w:type="dxa"/>
            </w:tcMar>
            <w:vAlign w:val="center"/>
          </w:tcPr>
          <w:p w14:paraId="763B508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优化税费服务举措</w:t>
            </w:r>
          </w:p>
        </w:tc>
        <w:tc>
          <w:tcPr>
            <w:tcW w:w="4429" w:type="dxa"/>
            <w:tcBorders>
              <w:tl2br w:val="nil"/>
              <w:tr2bl w:val="nil"/>
            </w:tcBorders>
            <w:noWrap w:val="0"/>
            <w:tcMar>
              <w:top w:w="28" w:type="dxa"/>
              <w:left w:w="28" w:type="dxa"/>
              <w:bottom w:w="28" w:type="dxa"/>
              <w:right w:w="28" w:type="dxa"/>
            </w:tcMar>
            <w:vAlign w:val="center"/>
          </w:tcPr>
          <w:p w14:paraId="406D6EC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统筹推进办税服务厅和12366一体化转型升级，有序推进发票赋额调整、税务注销等高频审批事项集中办理。</w:t>
            </w:r>
          </w:p>
        </w:tc>
        <w:tc>
          <w:tcPr>
            <w:tcW w:w="2254" w:type="dxa"/>
            <w:tcBorders>
              <w:tl2br w:val="nil"/>
              <w:tr2bl w:val="nil"/>
            </w:tcBorders>
            <w:noWrap w:val="0"/>
            <w:tcMar>
              <w:top w:w="28" w:type="dxa"/>
              <w:left w:w="28" w:type="dxa"/>
              <w:bottom w:w="28" w:type="dxa"/>
              <w:right w:w="28" w:type="dxa"/>
            </w:tcMar>
            <w:vAlign w:val="center"/>
          </w:tcPr>
          <w:p w14:paraId="1374E93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786EB44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18FB2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9" w:hRule="atLeast"/>
          <w:jc w:val="center"/>
        </w:trPr>
        <w:tc>
          <w:tcPr>
            <w:tcW w:w="642" w:type="dxa"/>
            <w:tcBorders>
              <w:tl2br w:val="nil"/>
              <w:tr2bl w:val="nil"/>
            </w:tcBorders>
            <w:noWrap w:val="0"/>
            <w:tcMar>
              <w:top w:w="28" w:type="dxa"/>
              <w:left w:w="28" w:type="dxa"/>
              <w:bottom w:w="28" w:type="dxa"/>
              <w:right w:w="28" w:type="dxa"/>
            </w:tcMar>
            <w:vAlign w:val="center"/>
          </w:tcPr>
          <w:p w14:paraId="4789973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45</w:t>
            </w:r>
          </w:p>
        </w:tc>
        <w:tc>
          <w:tcPr>
            <w:tcW w:w="1171" w:type="dxa"/>
            <w:vMerge w:val="continue"/>
            <w:tcBorders>
              <w:tl2br w:val="nil"/>
              <w:tr2bl w:val="nil"/>
            </w:tcBorders>
            <w:noWrap w:val="0"/>
            <w:tcMar>
              <w:top w:w="28" w:type="dxa"/>
              <w:left w:w="28" w:type="dxa"/>
              <w:bottom w:w="28" w:type="dxa"/>
              <w:right w:w="28" w:type="dxa"/>
            </w:tcMar>
            <w:vAlign w:val="center"/>
          </w:tcPr>
          <w:p w14:paraId="2EDD628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vMerge w:val="continue"/>
            <w:tcBorders>
              <w:tl2br w:val="nil"/>
              <w:tr2bl w:val="nil"/>
            </w:tcBorders>
            <w:noWrap w:val="0"/>
            <w:tcMar>
              <w:top w:w="28" w:type="dxa"/>
              <w:left w:w="28" w:type="dxa"/>
              <w:bottom w:w="28" w:type="dxa"/>
              <w:right w:w="28" w:type="dxa"/>
            </w:tcMar>
            <w:vAlign w:val="center"/>
          </w:tcPr>
          <w:p w14:paraId="3D4C1ED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4429" w:type="dxa"/>
            <w:tcBorders>
              <w:tl2br w:val="nil"/>
              <w:tr2bl w:val="nil"/>
            </w:tcBorders>
            <w:noWrap w:val="0"/>
            <w:tcMar>
              <w:top w:w="28" w:type="dxa"/>
              <w:left w:w="28" w:type="dxa"/>
              <w:bottom w:w="28" w:type="dxa"/>
              <w:right w:w="28" w:type="dxa"/>
            </w:tcMar>
            <w:vAlign w:val="center"/>
          </w:tcPr>
          <w:p w14:paraId="37B4FE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拓展精准推送工作机制在创新服务场景中的应用，实施涉税中介特定时点提示提醒服务，以及纳税人缴费人逾期未申报、错误申报等提示提醒服务，优化办税缴费体验。</w:t>
            </w:r>
          </w:p>
        </w:tc>
        <w:tc>
          <w:tcPr>
            <w:tcW w:w="2254" w:type="dxa"/>
            <w:tcBorders>
              <w:tl2br w:val="nil"/>
              <w:tr2bl w:val="nil"/>
            </w:tcBorders>
            <w:noWrap w:val="0"/>
            <w:tcMar>
              <w:top w:w="28" w:type="dxa"/>
              <w:left w:w="28" w:type="dxa"/>
              <w:bottom w:w="28" w:type="dxa"/>
              <w:right w:w="28" w:type="dxa"/>
            </w:tcMar>
            <w:vAlign w:val="center"/>
          </w:tcPr>
          <w:p w14:paraId="3110C1E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346F214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29AD8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atLeast"/>
          <w:jc w:val="center"/>
        </w:trPr>
        <w:tc>
          <w:tcPr>
            <w:tcW w:w="642" w:type="dxa"/>
            <w:tcBorders>
              <w:tl2br w:val="nil"/>
              <w:tr2bl w:val="nil"/>
            </w:tcBorders>
            <w:noWrap w:val="0"/>
            <w:tcMar>
              <w:top w:w="28" w:type="dxa"/>
              <w:left w:w="28" w:type="dxa"/>
              <w:bottom w:w="28" w:type="dxa"/>
              <w:right w:w="28" w:type="dxa"/>
            </w:tcMar>
            <w:vAlign w:val="center"/>
          </w:tcPr>
          <w:p w14:paraId="5B394A0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46</w:t>
            </w:r>
          </w:p>
        </w:tc>
        <w:tc>
          <w:tcPr>
            <w:tcW w:w="1171" w:type="dxa"/>
            <w:vMerge w:val="continue"/>
            <w:tcBorders>
              <w:tl2br w:val="nil"/>
              <w:tr2bl w:val="nil"/>
            </w:tcBorders>
            <w:noWrap w:val="0"/>
            <w:tcMar>
              <w:top w:w="28" w:type="dxa"/>
              <w:left w:w="28" w:type="dxa"/>
              <w:bottom w:w="28" w:type="dxa"/>
              <w:right w:w="28" w:type="dxa"/>
            </w:tcMar>
            <w:vAlign w:val="center"/>
          </w:tcPr>
          <w:p w14:paraId="095F2ED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vMerge w:val="continue"/>
            <w:tcBorders>
              <w:tl2br w:val="nil"/>
              <w:tr2bl w:val="nil"/>
            </w:tcBorders>
            <w:noWrap w:val="0"/>
            <w:tcMar>
              <w:top w:w="28" w:type="dxa"/>
              <w:left w:w="28" w:type="dxa"/>
              <w:bottom w:w="28" w:type="dxa"/>
              <w:right w:w="28" w:type="dxa"/>
            </w:tcMar>
            <w:vAlign w:val="center"/>
          </w:tcPr>
          <w:p w14:paraId="43D4A43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4429" w:type="dxa"/>
            <w:tcBorders>
              <w:tl2br w:val="nil"/>
              <w:tr2bl w:val="nil"/>
            </w:tcBorders>
            <w:noWrap w:val="0"/>
            <w:tcMar>
              <w:top w:w="28" w:type="dxa"/>
              <w:left w:w="28" w:type="dxa"/>
              <w:bottom w:w="28" w:type="dxa"/>
              <w:right w:w="28" w:type="dxa"/>
            </w:tcMar>
            <w:vAlign w:val="center"/>
          </w:tcPr>
          <w:p w14:paraId="39ECB30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深入推进“税路通·八桂行”品牌建设和税收服务东盟系列活动，优化跨境服务举措，丰富跨境知识产品。</w:t>
            </w:r>
          </w:p>
        </w:tc>
        <w:tc>
          <w:tcPr>
            <w:tcW w:w="2254" w:type="dxa"/>
            <w:tcBorders>
              <w:tl2br w:val="nil"/>
              <w:tr2bl w:val="nil"/>
            </w:tcBorders>
            <w:noWrap w:val="0"/>
            <w:tcMar>
              <w:top w:w="28" w:type="dxa"/>
              <w:left w:w="28" w:type="dxa"/>
              <w:bottom w:w="28" w:type="dxa"/>
              <w:right w:w="28" w:type="dxa"/>
            </w:tcMar>
            <w:vAlign w:val="center"/>
          </w:tcPr>
          <w:p w14:paraId="2419FB0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460CB8F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5EF63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3" w:hRule="atLeast"/>
          <w:jc w:val="center"/>
        </w:trPr>
        <w:tc>
          <w:tcPr>
            <w:tcW w:w="642" w:type="dxa"/>
            <w:tcBorders>
              <w:tl2br w:val="nil"/>
              <w:tr2bl w:val="nil"/>
            </w:tcBorders>
            <w:noWrap w:val="0"/>
            <w:tcMar>
              <w:top w:w="28" w:type="dxa"/>
              <w:left w:w="28" w:type="dxa"/>
              <w:bottom w:w="28" w:type="dxa"/>
              <w:right w:w="28" w:type="dxa"/>
            </w:tcMar>
            <w:vAlign w:val="center"/>
          </w:tcPr>
          <w:p w14:paraId="69272B7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47</w:t>
            </w:r>
          </w:p>
        </w:tc>
        <w:tc>
          <w:tcPr>
            <w:tcW w:w="1171" w:type="dxa"/>
            <w:vMerge w:val="continue"/>
            <w:tcBorders>
              <w:tl2br w:val="nil"/>
              <w:tr2bl w:val="nil"/>
            </w:tcBorders>
            <w:noWrap w:val="0"/>
            <w:tcMar>
              <w:top w:w="28" w:type="dxa"/>
              <w:left w:w="28" w:type="dxa"/>
              <w:bottom w:w="28" w:type="dxa"/>
              <w:right w:w="28" w:type="dxa"/>
            </w:tcMar>
            <w:vAlign w:val="center"/>
          </w:tcPr>
          <w:p w14:paraId="670B694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vMerge w:val="continue"/>
            <w:tcBorders>
              <w:tl2br w:val="nil"/>
              <w:tr2bl w:val="nil"/>
            </w:tcBorders>
            <w:noWrap w:val="0"/>
            <w:tcMar>
              <w:top w:w="28" w:type="dxa"/>
              <w:left w:w="28" w:type="dxa"/>
              <w:bottom w:w="28" w:type="dxa"/>
              <w:right w:w="28" w:type="dxa"/>
            </w:tcMar>
            <w:vAlign w:val="center"/>
          </w:tcPr>
          <w:p w14:paraId="1E38C8EC">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4429" w:type="dxa"/>
            <w:tcBorders>
              <w:tl2br w:val="nil"/>
              <w:tr2bl w:val="nil"/>
            </w:tcBorders>
            <w:noWrap w:val="0"/>
            <w:tcMar>
              <w:top w:w="28" w:type="dxa"/>
              <w:left w:w="28" w:type="dxa"/>
              <w:bottom w:w="28" w:type="dxa"/>
              <w:right w:w="28" w:type="dxa"/>
            </w:tcMar>
            <w:vAlign w:val="center"/>
          </w:tcPr>
          <w:p w14:paraId="7690AAA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加强部门间信用信息共享，持续深化和规范“银税互动”服务，2025年力争“银税互动”贷款投放达到1700亿元。</w:t>
            </w:r>
          </w:p>
        </w:tc>
        <w:tc>
          <w:tcPr>
            <w:tcW w:w="2254" w:type="dxa"/>
            <w:tcBorders>
              <w:tl2br w:val="nil"/>
              <w:tr2bl w:val="nil"/>
            </w:tcBorders>
            <w:noWrap w:val="0"/>
            <w:tcMar>
              <w:top w:w="28" w:type="dxa"/>
              <w:left w:w="28" w:type="dxa"/>
              <w:bottom w:w="28" w:type="dxa"/>
              <w:right w:w="28" w:type="dxa"/>
            </w:tcMar>
            <w:vAlign w:val="center"/>
          </w:tcPr>
          <w:p w14:paraId="0C4E5FE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48E5318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广西金融监管局，各银行业金融机构</w:t>
            </w:r>
          </w:p>
        </w:tc>
      </w:tr>
      <w:tr w14:paraId="3B9FC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8" w:hRule="atLeast"/>
          <w:jc w:val="center"/>
        </w:trPr>
        <w:tc>
          <w:tcPr>
            <w:tcW w:w="642" w:type="dxa"/>
            <w:tcBorders>
              <w:tl2br w:val="nil"/>
              <w:tr2bl w:val="nil"/>
            </w:tcBorders>
            <w:noWrap w:val="0"/>
            <w:tcMar>
              <w:top w:w="28" w:type="dxa"/>
              <w:left w:w="28" w:type="dxa"/>
              <w:bottom w:w="28" w:type="dxa"/>
              <w:right w:w="28" w:type="dxa"/>
            </w:tcMar>
            <w:vAlign w:val="center"/>
          </w:tcPr>
          <w:p w14:paraId="26DE63F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48</w:t>
            </w:r>
          </w:p>
        </w:tc>
        <w:tc>
          <w:tcPr>
            <w:tcW w:w="1171" w:type="dxa"/>
            <w:vMerge w:val="restart"/>
            <w:tcBorders>
              <w:tl2br w:val="nil"/>
              <w:tr2bl w:val="nil"/>
            </w:tcBorders>
            <w:noWrap w:val="0"/>
            <w:tcMar>
              <w:top w:w="28" w:type="dxa"/>
              <w:left w:w="28" w:type="dxa"/>
              <w:bottom w:w="28" w:type="dxa"/>
              <w:right w:w="28" w:type="dxa"/>
            </w:tcMar>
            <w:vAlign w:val="center"/>
          </w:tcPr>
          <w:p w14:paraId="6F3E920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进一步优化纳税服务</w:t>
            </w:r>
          </w:p>
        </w:tc>
        <w:tc>
          <w:tcPr>
            <w:tcW w:w="2271" w:type="dxa"/>
            <w:vMerge w:val="restart"/>
            <w:tcBorders>
              <w:tl2br w:val="nil"/>
              <w:tr2bl w:val="nil"/>
            </w:tcBorders>
            <w:noWrap w:val="0"/>
            <w:tcMar>
              <w:top w:w="28" w:type="dxa"/>
              <w:left w:w="28" w:type="dxa"/>
              <w:bottom w:w="28" w:type="dxa"/>
              <w:right w:w="28" w:type="dxa"/>
            </w:tcMar>
            <w:vAlign w:val="center"/>
          </w:tcPr>
          <w:p w14:paraId="7AF4CA4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推动税费征管数字化转型</w:t>
            </w:r>
          </w:p>
        </w:tc>
        <w:tc>
          <w:tcPr>
            <w:tcW w:w="4429" w:type="dxa"/>
            <w:tcBorders>
              <w:tl2br w:val="nil"/>
              <w:tr2bl w:val="nil"/>
            </w:tcBorders>
            <w:noWrap w:val="0"/>
            <w:tcMar>
              <w:top w:w="28" w:type="dxa"/>
              <w:left w:w="28" w:type="dxa"/>
              <w:bottom w:w="28" w:type="dxa"/>
              <w:right w:w="28" w:type="dxa"/>
            </w:tcMar>
            <w:vAlign w:val="center"/>
          </w:tcPr>
          <w:p w14:paraId="48B18D3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通过电子税务局实现纳税人提交跨区迁移申请的智能自动审核，提供高效、便捷“一站式”迁入迁出服务，保障纳税人纳税信用等级、发票额度等权益和资质得以延续，进一步便利纳税人跨区迁移，服务全国统一大市场建设。</w:t>
            </w:r>
          </w:p>
        </w:tc>
        <w:tc>
          <w:tcPr>
            <w:tcW w:w="2254" w:type="dxa"/>
            <w:tcBorders>
              <w:tl2br w:val="nil"/>
              <w:tr2bl w:val="nil"/>
            </w:tcBorders>
            <w:noWrap w:val="0"/>
            <w:tcMar>
              <w:top w:w="28" w:type="dxa"/>
              <w:left w:w="28" w:type="dxa"/>
              <w:bottom w:w="28" w:type="dxa"/>
              <w:right w:w="28" w:type="dxa"/>
            </w:tcMar>
            <w:vAlign w:val="center"/>
          </w:tcPr>
          <w:p w14:paraId="6F146D5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1D58BB5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466D9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jc w:val="center"/>
        </w:trPr>
        <w:tc>
          <w:tcPr>
            <w:tcW w:w="642" w:type="dxa"/>
            <w:tcBorders>
              <w:tl2br w:val="nil"/>
              <w:tr2bl w:val="nil"/>
            </w:tcBorders>
            <w:noWrap w:val="0"/>
            <w:tcMar>
              <w:top w:w="28" w:type="dxa"/>
              <w:left w:w="28" w:type="dxa"/>
              <w:bottom w:w="28" w:type="dxa"/>
              <w:right w:w="28" w:type="dxa"/>
            </w:tcMar>
            <w:vAlign w:val="center"/>
          </w:tcPr>
          <w:p w14:paraId="268079F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lang w:val="en-US"/>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49</w:t>
            </w:r>
          </w:p>
        </w:tc>
        <w:tc>
          <w:tcPr>
            <w:tcW w:w="1171" w:type="dxa"/>
            <w:vMerge w:val="continue"/>
            <w:tcBorders>
              <w:tl2br w:val="nil"/>
              <w:tr2bl w:val="nil"/>
            </w:tcBorders>
            <w:noWrap w:val="0"/>
            <w:tcMar>
              <w:top w:w="28" w:type="dxa"/>
              <w:left w:w="28" w:type="dxa"/>
              <w:bottom w:w="28" w:type="dxa"/>
              <w:right w:w="28" w:type="dxa"/>
            </w:tcMar>
            <w:vAlign w:val="center"/>
          </w:tcPr>
          <w:p w14:paraId="253E709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vMerge w:val="continue"/>
            <w:tcBorders>
              <w:tl2br w:val="nil"/>
              <w:tr2bl w:val="nil"/>
            </w:tcBorders>
            <w:noWrap w:val="0"/>
            <w:tcMar>
              <w:top w:w="28" w:type="dxa"/>
              <w:left w:w="28" w:type="dxa"/>
              <w:bottom w:w="28" w:type="dxa"/>
              <w:right w:w="28" w:type="dxa"/>
            </w:tcMar>
            <w:vAlign w:val="center"/>
          </w:tcPr>
          <w:p w14:paraId="1622240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4429" w:type="dxa"/>
            <w:tcBorders>
              <w:tl2br w:val="nil"/>
              <w:tr2bl w:val="nil"/>
            </w:tcBorders>
            <w:noWrap w:val="0"/>
            <w:tcMar>
              <w:top w:w="28" w:type="dxa"/>
              <w:left w:w="28" w:type="dxa"/>
              <w:bottom w:w="28" w:type="dxa"/>
              <w:right w:w="28" w:type="dxa"/>
            </w:tcMar>
            <w:vAlign w:val="center"/>
          </w:tcPr>
          <w:p w14:paraId="0BF0F48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推广税务机关与企业数据直连的“乐企”应用，扩大“乐企”接入范围，提供数电发票开具、交付、使用等服务，帮助企业降低制度性成本。</w:t>
            </w:r>
          </w:p>
        </w:tc>
        <w:tc>
          <w:tcPr>
            <w:tcW w:w="2254" w:type="dxa"/>
            <w:tcBorders>
              <w:tl2br w:val="nil"/>
              <w:tr2bl w:val="nil"/>
            </w:tcBorders>
            <w:noWrap w:val="0"/>
            <w:tcMar>
              <w:top w:w="28" w:type="dxa"/>
              <w:left w:w="28" w:type="dxa"/>
              <w:bottom w:w="28" w:type="dxa"/>
              <w:right w:w="28" w:type="dxa"/>
            </w:tcMar>
            <w:vAlign w:val="center"/>
          </w:tcPr>
          <w:p w14:paraId="34518E2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6B28BAE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5DDA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jc w:val="center"/>
        </w:trPr>
        <w:tc>
          <w:tcPr>
            <w:tcW w:w="642" w:type="dxa"/>
            <w:tcBorders>
              <w:tl2br w:val="nil"/>
              <w:tr2bl w:val="nil"/>
            </w:tcBorders>
            <w:noWrap w:val="0"/>
            <w:tcMar>
              <w:top w:w="28" w:type="dxa"/>
              <w:left w:w="28" w:type="dxa"/>
              <w:bottom w:w="28" w:type="dxa"/>
              <w:right w:w="28" w:type="dxa"/>
            </w:tcMar>
            <w:vAlign w:val="center"/>
          </w:tcPr>
          <w:p w14:paraId="268C3A5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50</w:t>
            </w:r>
          </w:p>
        </w:tc>
        <w:tc>
          <w:tcPr>
            <w:tcW w:w="1171" w:type="dxa"/>
            <w:vMerge w:val="continue"/>
            <w:tcBorders>
              <w:tl2br w:val="nil"/>
              <w:tr2bl w:val="nil"/>
            </w:tcBorders>
            <w:noWrap w:val="0"/>
            <w:tcMar>
              <w:top w:w="28" w:type="dxa"/>
              <w:left w:w="28" w:type="dxa"/>
              <w:bottom w:w="28" w:type="dxa"/>
              <w:right w:w="28" w:type="dxa"/>
            </w:tcMar>
            <w:vAlign w:val="center"/>
          </w:tcPr>
          <w:p w14:paraId="3BB77C5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1E69B86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健全税费诉求响应解决机制</w:t>
            </w:r>
          </w:p>
        </w:tc>
        <w:tc>
          <w:tcPr>
            <w:tcW w:w="4429" w:type="dxa"/>
            <w:tcBorders>
              <w:tl2br w:val="nil"/>
              <w:tr2bl w:val="nil"/>
            </w:tcBorders>
            <w:noWrap w:val="0"/>
            <w:tcMar>
              <w:top w:w="28" w:type="dxa"/>
              <w:left w:w="28" w:type="dxa"/>
              <w:bottom w:w="28" w:type="dxa"/>
              <w:right w:w="28" w:type="dxa"/>
            </w:tcMar>
            <w:vAlign w:val="center"/>
          </w:tcPr>
          <w:p w14:paraId="6C92BA8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加强“税企面对面”常态化交流，全面开展“服务满意伴随访”，高效解决企业涉税诉求。</w:t>
            </w:r>
          </w:p>
        </w:tc>
        <w:tc>
          <w:tcPr>
            <w:tcW w:w="2254" w:type="dxa"/>
            <w:tcBorders>
              <w:tl2br w:val="nil"/>
              <w:tr2bl w:val="nil"/>
            </w:tcBorders>
            <w:noWrap w:val="0"/>
            <w:tcMar>
              <w:top w:w="28" w:type="dxa"/>
              <w:left w:w="28" w:type="dxa"/>
              <w:bottom w:w="28" w:type="dxa"/>
              <w:right w:w="28" w:type="dxa"/>
            </w:tcMar>
            <w:vAlign w:val="center"/>
          </w:tcPr>
          <w:p w14:paraId="1E8CADF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51AFBD1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11D96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jc w:val="center"/>
        </w:trPr>
        <w:tc>
          <w:tcPr>
            <w:tcW w:w="642" w:type="dxa"/>
            <w:tcBorders>
              <w:tl2br w:val="nil"/>
              <w:tr2bl w:val="nil"/>
            </w:tcBorders>
            <w:noWrap w:val="0"/>
            <w:tcMar>
              <w:top w:w="28" w:type="dxa"/>
              <w:left w:w="28" w:type="dxa"/>
              <w:bottom w:w="28" w:type="dxa"/>
              <w:right w:w="28" w:type="dxa"/>
            </w:tcMar>
            <w:vAlign w:val="center"/>
          </w:tcPr>
          <w:p w14:paraId="5366B5D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51</w:t>
            </w:r>
          </w:p>
        </w:tc>
        <w:tc>
          <w:tcPr>
            <w:tcW w:w="1171" w:type="dxa"/>
            <w:vMerge w:val="continue"/>
            <w:tcBorders>
              <w:tl2br w:val="nil"/>
              <w:tr2bl w:val="nil"/>
            </w:tcBorders>
            <w:noWrap w:val="0"/>
            <w:tcMar>
              <w:top w:w="28" w:type="dxa"/>
              <w:left w:w="28" w:type="dxa"/>
              <w:bottom w:w="28" w:type="dxa"/>
              <w:right w:w="28" w:type="dxa"/>
            </w:tcMar>
            <w:vAlign w:val="center"/>
          </w:tcPr>
          <w:p w14:paraId="66A1D94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2774CDA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规范税务执法</w:t>
            </w:r>
          </w:p>
        </w:tc>
        <w:tc>
          <w:tcPr>
            <w:tcW w:w="4429" w:type="dxa"/>
            <w:tcBorders>
              <w:tl2br w:val="nil"/>
              <w:tr2bl w:val="nil"/>
            </w:tcBorders>
            <w:noWrap w:val="0"/>
            <w:tcMar>
              <w:top w:w="28" w:type="dxa"/>
              <w:left w:w="28" w:type="dxa"/>
              <w:bottom w:w="28" w:type="dxa"/>
              <w:right w:w="28" w:type="dxa"/>
            </w:tcMar>
            <w:vAlign w:val="center"/>
          </w:tcPr>
          <w:p w14:paraId="4D6D58E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认真落实《国务院办公厅关于严格规范涉企行政检查的意见》（国办发〔2024〕54号），通过书面说理与口头说理相结合的方式全面推进“说理式执法”。</w:t>
            </w:r>
          </w:p>
        </w:tc>
        <w:tc>
          <w:tcPr>
            <w:tcW w:w="2254" w:type="dxa"/>
            <w:tcBorders>
              <w:tl2br w:val="nil"/>
              <w:tr2bl w:val="nil"/>
            </w:tcBorders>
            <w:noWrap w:val="0"/>
            <w:tcMar>
              <w:top w:w="28" w:type="dxa"/>
              <w:left w:w="28" w:type="dxa"/>
              <w:bottom w:w="28" w:type="dxa"/>
              <w:right w:w="28" w:type="dxa"/>
            </w:tcMar>
            <w:vAlign w:val="center"/>
          </w:tcPr>
          <w:p w14:paraId="2AEC06F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19973DCD">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5A1C1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9" w:hRule="atLeast"/>
          <w:jc w:val="center"/>
        </w:trPr>
        <w:tc>
          <w:tcPr>
            <w:tcW w:w="642" w:type="dxa"/>
            <w:tcBorders>
              <w:tl2br w:val="nil"/>
              <w:tr2bl w:val="nil"/>
            </w:tcBorders>
            <w:noWrap w:val="0"/>
            <w:tcMar>
              <w:top w:w="28" w:type="dxa"/>
              <w:left w:w="28" w:type="dxa"/>
              <w:bottom w:w="28" w:type="dxa"/>
              <w:right w:w="28" w:type="dxa"/>
            </w:tcMar>
            <w:vAlign w:val="center"/>
          </w:tcPr>
          <w:p w14:paraId="18BBB20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52</w:t>
            </w:r>
          </w:p>
        </w:tc>
        <w:tc>
          <w:tcPr>
            <w:tcW w:w="1171" w:type="dxa"/>
            <w:tcBorders>
              <w:tl2br w:val="nil"/>
              <w:tr2bl w:val="nil"/>
            </w:tcBorders>
            <w:noWrap w:val="0"/>
            <w:tcMar>
              <w:top w:w="28" w:type="dxa"/>
              <w:left w:w="28" w:type="dxa"/>
              <w:bottom w:w="28" w:type="dxa"/>
              <w:right w:w="28" w:type="dxa"/>
            </w:tcMar>
            <w:vAlign w:val="center"/>
          </w:tcPr>
          <w:p w14:paraId="4A74B95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进一步优化纳税服务</w:t>
            </w:r>
          </w:p>
        </w:tc>
        <w:tc>
          <w:tcPr>
            <w:tcW w:w="2271" w:type="dxa"/>
            <w:tcBorders>
              <w:tl2br w:val="nil"/>
              <w:tr2bl w:val="nil"/>
            </w:tcBorders>
            <w:noWrap w:val="0"/>
            <w:tcMar>
              <w:top w:w="28" w:type="dxa"/>
              <w:left w:w="28" w:type="dxa"/>
              <w:bottom w:w="28" w:type="dxa"/>
              <w:right w:w="28" w:type="dxa"/>
            </w:tcMar>
            <w:vAlign w:val="center"/>
          </w:tcPr>
          <w:p w14:paraId="732C125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规范税务执法</w:t>
            </w:r>
          </w:p>
        </w:tc>
        <w:tc>
          <w:tcPr>
            <w:tcW w:w="4429" w:type="dxa"/>
            <w:tcBorders>
              <w:tl2br w:val="nil"/>
              <w:tr2bl w:val="nil"/>
            </w:tcBorders>
            <w:noWrap w:val="0"/>
            <w:tcMar>
              <w:top w:w="28" w:type="dxa"/>
              <w:left w:w="28" w:type="dxa"/>
              <w:bottom w:w="28" w:type="dxa"/>
              <w:right w:w="28" w:type="dxa"/>
            </w:tcMar>
            <w:vAlign w:val="center"/>
          </w:tcPr>
          <w:p w14:paraId="134C8F9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组织修订税务机关权责清单，明确税务机关执法边界，规范税务机关权力运行。严格执行《中南区域税务行政处罚裁量基准》，落实税收法定和过罚相当原则，深入推进区域执法标准统一，切实保障税务行政相对人的合法权益。</w:t>
            </w:r>
          </w:p>
        </w:tc>
        <w:tc>
          <w:tcPr>
            <w:tcW w:w="2254" w:type="dxa"/>
            <w:tcBorders>
              <w:tl2br w:val="nil"/>
              <w:tr2bl w:val="nil"/>
            </w:tcBorders>
            <w:noWrap w:val="0"/>
            <w:tcMar>
              <w:top w:w="28" w:type="dxa"/>
              <w:left w:w="28" w:type="dxa"/>
              <w:bottom w:w="28" w:type="dxa"/>
              <w:right w:w="28" w:type="dxa"/>
            </w:tcMar>
            <w:vAlign w:val="center"/>
          </w:tcPr>
          <w:p w14:paraId="4BC836A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广西税务局</w:t>
            </w:r>
          </w:p>
        </w:tc>
        <w:tc>
          <w:tcPr>
            <w:tcW w:w="2329" w:type="dxa"/>
            <w:tcBorders>
              <w:tl2br w:val="nil"/>
              <w:tr2bl w:val="nil"/>
            </w:tcBorders>
            <w:noWrap w:val="0"/>
            <w:tcMar>
              <w:top w:w="28" w:type="dxa"/>
              <w:left w:w="28" w:type="dxa"/>
              <w:bottom w:w="28" w:type="dxa"/>
              <w:right w:w="28" w:type="dxa"/>
            </w:tcMar>
            <w:vAlign w:val="center"/>
          </w:tcPr>
          <w:p w14:paraId="10B0073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5FA30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jc w:val="center"/>
        </w:trPr>
        <w:tc>
          <w:tcPr>
            <w:tcW w:w="642" w:type="dxa"/>
            <w:tcBorders>
              <w:tl2br w:val="nil"/>
              <w:tr2bl w:val="nil"/>
            </w:tcBorders>
            <w:noWrap w:val="0"/>
            <w:tcMar>
              <w:top w:w="28" w:type="dxa"/>
              <w:left w:w="28" w:type="dxa"/>
              <w:bottom w:w="28" w:type="dxa"/>
              <w:right w:w="28" w:type="dxa"/>
            </w:tcMar>
            <w:vAlign w:val="center"/>
          </w:tcPr>
          <w:p w14:paraId="3EC7104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53</w:t>
            </w:r>
          </w:p>
        </w:tc>
        <w:tc>
          <w:tcPr>
            <w:tcW w:w="1171" w:type="dxa"/>
            <w:vMerge w:val="restart"/>
            <w:tcBorders>
              <w:tl2br w:val="nil"/>
              <w:tr2bl w:val="nil"/>
            </w:tcBorders>
            <w:noWrap w:val="0"/>
            <w:tcMar>
              <w:top w:w="28" w:type="dxa"/>
              <w:left w:w="28" w:type="dxa"/>
              <w:bottom w:w="28" w:type="dxa"/>
              <w:right w:w="28" w:type="dxa"/>
            </w:tcMar>
            <w:vAlign w:val="center"/>
          </w:tcPr>
          <w:p w14:paraId="2374D2A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加快推进社会信用体系建设</w:t>
            </w:r>
          </w:p>
        </w:tc>
        <w:tc>
          <w:tcPr>
            <w:tcW w:w="2271" w:type="dxa"/>
            <w:tcBorders>
              <w:tl2br w:val="nil"/>
              <w:tr2bl w:val="nil"/>
            </w:tcBorders>
            <w:noWrap w:val="0"/>
            <w:tcMar>
              <w:top w:w="28" w:type="dxa"/>
              <w:left w:w="28" w:type="dxa"/>
              <w:bottom w:w="28" w:type="dxa"/>
              <w:right w:w="28" w:type="dxa"/>
            </w:tcMar>
            <w:vAlign w:val="center"/>
          </w:tcPr>
          <w:p w14:paraId="31C2B34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构建企业信用状况综合评价体系</w:t>
            </w:r>
          </w:p>
        </w:tc>
        <w:tc>
          <w:tcPr>
            <w:tcW w:w="4429" w:type="dxa"/>
            <w:tcBorders>
              <w:tl2br w:val="nil"/>
              <w:tr2bl w:val="nil"/>
            </w:tcBorders>
            <w:noWrap w:val="0"/>
            <w:tcMar>
              <w:top w:w="28" w:type="dxa"/>
              <w:left w:w="28" w:type="dxa"/>
              <w:bottom w:w="28" w:type="dxa"/>
              <w:right w:w="28" w:type="dxa"/>
            </w:tcMar>
            <w:vAlign w:val="center"/>
          </w:tcPr>
          <w:p w14:paraId="23F7828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加快构建以公共信用综合评价为基础、以行业信用评价为重点的企业信用状况综合评价体系，加强公共信用综合评价结果应用。</w:t>
            </w:r>
          </w:p>
        </w:tc>
        <w:tc>
          <w:tcPr>
            <w:tcW w:w="2254" w:type="dxa"/>
            <w:tcBorders>
              <w:tl2br w:val="nil"/>
              <w:tr2bl w:val="nil"/>
            </w:tcBorders>
            <w:noWrap w:val="0"/>
            <w:tcMar>
              <w:top w:w="28" w:type="dxa"/>
              <w:left w:w="28" w:type="dxa"/>
              <w:bottom w:w="28" w:type="dxa"/>
              <w:right w:w="28" w:type="dxa"/>
            </w:tcMar>
            <w:vAlign w:val="center"/>
          </w:tcPr>
          <w:p w14:paraId="5D478D9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w:t>
            </w:r>
          </w:p>
        </w:tc>
        <w:tc>
          <w:tcPr>
            <w:tcW w:w="2329" w:type="dxa"/>
            <w:tcBorders>
              <w:tl2br w:val="nil"/>
              <w:tr2bl w:val="nil"/>
            </w:tcBorders>
            <w:noWrap w:val="0"/>
            <w:tcMar>
              <w:top w:w="28" w:type="dxa"/>
              <w:left w:w="28" w:type="dxa"/>
              <w:bottom w:w="28" w:type="dxa"/>
              <w:right w:w="28" w:type="dxa"/>
            </w:tcMar>
            <w:vAlign w:val="center"/>
          </w:tcPr>
          <w:p w14:paraId="4F79984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6B904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2" w:hRule="atLeast"/>
          <w:jc w:val="center"/>
        </w:trPr>
        <w:tc>
          <w:tcPr>
            <w:tcW w:w="642" w:type="dxa"/>
            <w:tcBorders>
              <w:tl2br w:val="nil"/>
              <w:tr2bl w:val="nil"/>
            </w:tcBorders>
            <w:noWrap w:val="0"/>
            <w:tcMar>
              <w:top w:w="28" w:type="dxa"/>
              <w:left w:w="28" w:type="dxa"/>
              <w:bottom w:w="28" w:type="dxa"/>
              <w:right w:w="28" w:type="dxa"/>
            </w:tcMar>
            <w:vAlign w:val="center"/>
          </w:tcPr>
          <w:p w14:paraId="388CC7C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lang w:val="en-US"/>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54</w:t>
            </w:r>
          </w:p>
        </w:tc>
        <w:tc>
          <w:tcPr>
            <w:tcW w:w="1171" w:type="dxa"/>
            <w:vMerge w:val="continue"/>
            <w:tcBorders>
              <w:tl2br w:val="nil"/>
              <w:tr2bl w:val="nil"/>
            </w:tcBorders>
            <w:noWrap w:val="0"/>
            <w:tcMar>
              <w:top w:w="28" w:type="dxa"/>
              <w:left w:w="28" w:type="dxa"/>
              <w:bottom w:w="28" w:type="dxa"/>
              <w:right w:w="28" w:type="dxa"/>
            </w:tcMar>
            <w:vAlign w:val="center"/>
          </w:tcPr>
          <w:p w14:paraId="1F4718E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638FA13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加强信用信息归集</w:t>
            </w:r>
          </w:p>
        </w:tc>
        <w:tc>
          <w:tcPr>
            <w:tcW w:w="4429" w:type="dxa"/>
            <w:tcBorders>
              <w:tl2br w:val="nil"/>
              <w:tr2bl w:val="nil"/>
            </w:tcBorders>
            <w:noWrap w:val="0"/>
            <w:tcMar>
              <w:top w:w="28" w:type="dxa"/>
              <w:left w:w="28" w:type="dxa"/>
              <w:bottom w:w="28" w:type="dxa"/>
              <w:right w:w="28" w:type="dxa"/>
            </w:tcMar>
            <w:vAlign w:val="center"/>
          </w:tcPr>
          <w:p w14:paraId="4590511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完善全国融资信用服务平台（广西站），提升信用信息共享质效。在政务服务、商务经营、金融市场等场景中全面推行专项信用报告替代无违法违规记录证明，实现“应替尽替”。</w:t>
            </w:r>
          </w:p>
        </w:tc>
        <w:tc>
          <w:tcPr>
            <w:tcW w:w="2254" w:type="dxa"/>
            <w:tcBorders>
              <w:tl2br w:val="nil"/>
              <w:tr2bl w:val="nil"/>
            </w:tcBorders>
            <w:noWrap w:val="0"/>
            <w:tcMar>
              <w:top w:w="28" w:type="dxa"/>
              <w:left w:w="28" w:type="dxa"/>
              <w:bottom w:w="28" w:type="dxa"/>
              <w:right w:w="28" w:type="dxa"/>
            </w:tcMar>
            <w:vAlign w:val="center"/>
          </w:tcPr>
          <w:p w14:paraId="56F82F5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w:t>
            </w:r>
          </w:p>
        </w:tc>
        <w:tc>
          <w:tcPr>
            <w:tcW w:w="2329" w:type="dxa"/>
            <w:tcBorders>
              <w:tl2br w:val="nil"/>
              <w:tr2bl w:val="nil"/>
            </w:tcBorders>
            <w:noWrap w:val="0"/>
            <w:tcMar>
              <w:top w:w="28" w:type="dxa"/>
              <w:left w:w="28" w:type="dxa"/>
              <w:bottom w:w="28" w:type="dxa"/>
              <w:right w:w="28" w:type="dxa"/>
            </w:tcMar>
            <w:vAlign w:val="center"/>
          </w:tcPr>
          <w:p w14:paraId="2CD969B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55AD3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jc w:val="center"/>
        </w:trPr>
        <w:tc>
          <w:tcPr>
            <w:tcW w:w="642" w:type="dxa"/>
            <w:tcBorders>
              <w:tl2br w:val="nil"/>
              <w:tr2bl w:val="nil"/>
            </w:tcBorders>
            <w:noWrap w:val="0"/>
            <w:tcMar>
              <w:top w:w="28" w:type="dxa"/>
              <w:left w:w="28" w:type="dxa"/>
              <w:bottom w:w="28" w:type="dxa"/>
              <w:right w:w="28" w:type="dxa"/>
            </w:tcMar>
            <w:vAlign w:val="center"/>
          </w:tcPr>
          <w:p w14:paraId="3E41286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55</w:t>
            </w:r>
          </w:p>
        </w:tc>
        <w:tc>
          <w:tcPr>
            <w:tcW w:w="1171" w:type="dxa"/>
            <w:vMerge w:val="continue"/>
            <w:tcBorders>
              <w:tl2br w:val="nil"/>
              <w:tr2bl w:val="nil"/>
            </w:tcBorders>
            <w:noWrap w:val="0"/>
            <w:tcMar>
              <w:top w:w="28" w:type="dxa"/>
              <w:left w:w="28" w:type="dxa"/>
              <w:bottom w:w="28" w:type="dxa"/>
              <w:right w:w="28" w:type="dxa"/>
            </w:tcMar>
            <w:vAlign w:val="center"/>
          </w:tcPr>
          <w:p w14:paraId="531B8C3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7AB45AC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健全信用修复机制</w:t>
            </w:r>
          </w:p>
        </w:tc>
        <w:tc>
          <w:tcPr>
            <w:tcW w:w="4429" w:type="dxa"/>
            <w:tcBorders>
              <w:tl2br w:val="nil"/>
              <w:tr2bl w:val="nil"/>
            </w:tcBorders>
            <w:noWrap w:val="0"/>
            <w:tcMar>
              <w:top w:w="28" w:type="dxa"/>
              <w:left w:w="28" w:type="dxa"/>
              <w:bottom w:w="28" w:type="dxa"/>
              <w:right w:w="28" w:type="dxa"/>
            </w:tcMar>
            <w:vAlign w:val="center"/>
          </w:tcPr>
          <w:p w14:paraId="3C268C3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建立健全统一规范、协同共享、科学高效的信用修复机制，扎实推进信用修复“一网通办”。</w:t>
            </w:r>
          </w:p>
        </w:tc>
        <w:tc>
          <w:tcPr>
            <w:tcW w:w="2254" w:type="dxa"/>
            <w:tcBorders>
              <w:tl2br w:val="nil"/>
              <w:tr2bl w:val="nil"/>
            </w:tcBorders>
            <w:noWrap w:val="0"/>
            <w:tcMar>
              <w:top w:w="28" w:type="dxa"/>
              <w:left w:w="28" w:type="dxa"/>
              <w:bottom w:w="28" w:type="dxa"/>
              <w:right w:w="28" w:type="dxa"/>
            </w:tcMar>
            <w:vAlign w:val="center"/>
          </w:tcPr>
          <w:p w14:paraId="4457565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w:t>
            </w:r>
          </w:p>
        </w:tc>
        <w:tc>
          <w:tcPr>
            <w:tcW w:w="2329" w:type="dxa"/>
            <w:tcBorders>
              <w:tl2br w:val="nil"/>
              <w:tr2bl w:val="nil"/>
            </w:tcBorders>
            <w:noWrap w:val="0"/>
            <w:tcMar>
              <w:top w:w="28" w:type="dxa"/>
              <w:left w:w="28" w:type="dxa"/>
              <w:bottom w:w="28" w:type="dxa"/>
              <w:right w:w="28" w:type="dxa"/>
            </w:tcMar>
            <w:vAlign w:val="center"/>
          </w:tcPr>
          <w:p w14:paraId="6FEF6CB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2E645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4248FE9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56</w:t>
            </w:r>
          </w:p>
        </w:tc>
        <w:tc>
          <w:tcPr>
            <w:tcW w:w="1171" w:type="dxa"/>
            <w:vMerge w:val="restart"/>
            <w:tcBorders>
              <w:tl2br w:val="nil"/>
              <w:tr2bl w:val="nil"/>
            </w:tcBorders>
            <w:noWrap w:val="0"/>
            <w:tcMar>
              <w:top w:w="28" w:type="dxa"/>
              <w:left w:w="28" w:type="dxa"/>
              <w:bottom w:w="28" w:type="dxa"/>
              <w:right w:w="28" w:type="dxa"/>
            </w:tcMar>
            <w:vAlign w:val="center"/>
          </w:tcPr>
          <w:p w14:paraId="1605B4CA">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加快推进社会信用体系建设</w:t>
            </w:r>
          </w:p>
        </w:tc>
        <w:tc>
          <w:tcPr>
            <w:tcW w:w="2271" w:type="dxa"/>
            <w:vMerge w:val="restart"/>
            <w:tcBorders>
              <w:tl2br w:val="nil"/>
              <w:tr2bl w:val="nil"/>
            </w:tcBorders>
            <w:noWrap w:val="0"/>
            <w:tcMar>
              <w:top w:w="28" w:type="dxa"/>
              <w:left w:w="28" w:type="dxa"/>
              <w:bottom w:w="28" w:type="dxa"/>
              <w:right w:w="28" w:type="dxa"/>
            </w:tcMar>
            <w:vAlign w:val="center"/>
          </w:tcPr>
          <w:p w14:paraId="33C7048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落实国家关于政府诚信履约机制工作部署</w:t>
            </w:r>
          </w:p>
        </w:tc>
        <w:tc>
          <w:tcPr>
            <w:tcW w:w="4429" w:type="dxa"/>
            <w:tcBorders>
              <w:tl2br w:val="nil"/>
              <w:tr2bl w:val="nil"/>
            </w:tcBorders>
            <w:noWrap w:val="0"/>
            <w:tcMar>
              <w:top w:w="28" w:type="dxa"/>
              <w:left w:w="28" w:type="dxa"/>
              <w:bottom w:w="28" w:type="dxa"/>
              <w:right w:w="28" w:type="dxa"/>
            </w:tcMar>
            <w:vAlign w:val="center"/>
          </w:tcPr>
          <w:p w14:paraId="11BEB03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将合法性审查作为各级政府作出招商引资承诺的前置程序，明确审查主体、方式、流程及审查重点内容等。畅通政府违约失信投诉渠道，解决各级政府“说到做不到”的问题。</w:t>
            </w:r>
          </w:p>
        </w:tc>
        <w:tc>
          <w:tcPr>
            <w:tcW w:w="2254" w:type="dxa"/>
            <w:tcBorders>
              <w:tl2br w:val="nil"/>
              <w:tr2bl w:val="nil"/>
            </w:tcBorders>
            <w:noWrap w:val="0"/>
            <w:tcMar>
              <w:top w:w="28" w:type="dxa"/>
              <w:left w:w="28" w:type="dxa"/>
              <w:bottom w:w="28" w:type="dxa"/>
              <w:right w:w="28" w:type="dxa"/>
            </w:tcMar>
            <w:vAlign w:val="center"/>
          </w:tcPr>
          <w:p w14:paraId="4080094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自治区司法厅</w:t>
            </w:r>
          </w:p>
        </w:tc>
        <w:tc>
          <w:tcPr>
            <w:tcW w:w="2329" w:type="dxa"/>
            <w:tcBorders>
              <w:tl2br w:val="nil"/>
              <w:tr2bl w:val="nil"/>
            </w:tcBorders>
            <w:noWrap w:val="0"/>
            <w:tcMar>
              <w:top w:w="28" w:type="dxa"/>
              <w:left w:w="28" w:type="dxa"/>
              <w:bottom w:w="28" w:type="dxa"/>
              <w:right w:w="28" w:type="dxa"/>
            </w:tcMar>
            <w:vAlign w:val="center"/>
          </w:tcPr>
          <w:p w14:paraId="2EC1952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69998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9" w:hRule="atLeast"/>
          <w:jc w:val="center"/>
        </w:trPr>
        <w:tc>
          <w:tcPr>
            <w:tcW w:w="642" w:type="dxa"/>
            <w:tcBorders>
              <w:tl2br w:val="nil"/>
              <w:tr2bl w:val="nil"/>
            </w:tcBorders>
            <w:noWrap w:val="0"/>
            <w:tcMar>
              <w:top w:w="28" w:type="dxa"/>
              <w:left w:w="28" w:type="dxa"/>
              <w:bottom w:w="28" w:type="dxa"/>
              <w:right w:w="28" w:type="dxa"/>
            </w:tcMar>
            <w:vAlign w:val="center"/>
          </w:tcPr>
          <w:p w14:paraId="31C4C98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57</w:t>
            </w:r>
          </w:p>
        </w:tc>
        <w:tc>
          <w:tcPr>
            <w:tcW w:w="1171" w:type="dxa"/>
            <w:vMerge w:val="continue"/>
            <w:tcBorders>
              <w:tl2br w:val="nil"/>
              <w:tr2bl w:val="nil"/>
            </w:tcBorders>
            <w:noWrap w:val="0"/>
            <w:tcMar>
              <w:top w:w="28" w:type="dxa"/>
              <w:left w:w="28" w:type="dxa"/>
              <w:bottom w:w="28" w:type="dxa"/>
              <w:right w:w="28" w:type="dxa"/>
            </w:tcMar>
            <w:vAlign w:val="center"/>
          </w:tcPr>
          <w:p w14:paraId="55773B3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vMerge w:val="continue"/>
            <w:tcBorders>
              <w:tl2br w:val="nil"/>
              <w:tr2bl w:val="nil"/>
            </w:tcBorders>
            <w:noWrap w:val="0"/>
            <w:tcMar>
              <w:top w:w="28" w:type="dxa"/>
              <w:left w:w="28" w:type="dxa"/>
              <w:bottom w:w="28" w:type="dxa"/>
              <w:right w:w="28" w:type="dxa"/>
            </w:tcMar>
            <w:vAlign w:val="center"/>
          </w:tcPr>
          <w:p w14:paraId="6A737B0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4429" w:type="dxa"/>
            <w:tcBorders>
              <w:tl2br w:val="nil"/>
              <w:tr2bl w:val="nil"/>
            </w:tcBorders>
            <w:noWrap w:val="0"/>
            <w:tcMar>
              <w:top w:w="28" w:type="dxa"/>
              <w:left w:w="28" w:type="dxa"/>
              <w:bottom w:w="28" w:type="dxa"/>
              <w:right w:w="28" w:type="dxa"/>
            </w:tcMar>
            <w:vAlign w:val="center"/>
          </w:tcPr>
          <w:p w14:paraId="68C8206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依托现有电子政务平台开展政府合同履约智能化管理，动态监控付款进度、办结时间等关键节点数据，实现签约及时录入、履约全程监管、异常预警提醒、违约失信记录的闭环管理。</w:t>
            </w:r>
          </w:p>
        </w:tc>
        <w:tc>
          <w:tcPr>
            <w:tcW w:w="2254" w:type="dxa"/>
            <w:tcBorders>
              <w:tl2br w:val="nil"/>
              <w:tr2bl w:val="nil"/>
            </w:tcBorders>
            <w:noWrap w:val="0"/>
            <w:tcMar>
              <w:top w:w="28" w:type="dxa"/>
              <w:left w:w="28" w:type="dxa"/>
              <w:bottom w:w="28" w:type="dxa"/>
              <w:right w:w="28" w:type="dxa"/>
            </w:tcMar>
            <w:vAlign w:val="center"/>
          </w:tcPr>
          <w:p w14:paraId="201777B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自治区财政厅、数据局</w:t>
            </w:r>
          </w:p>
        </w:tc>
        <w:tc>
          <w:tcPr>
            <w:tcW w:w="2329" w:type="dxa"/>
            <w:tcBorders>
              <w:tl2br w:val="nil"/>
              <w:tr2bl w:val="nil"/>
            </w:tcBorders>
            <w:noWrap w:val="0"/>
            <w:tcMar>
              <w:top w:w="28" w:type="dxa"/>
              <w:left w:w="28" w:type="dxa"/>
              <w:bottom w:w="28" w:type="dxa"/>
              <w:right w:w="28" w:type="dxa"/>
            </w:tcMar>
            <w:vAlign w:val="center"/>
          </w:tcPr>
          <w:p w14:paraId="2189B20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A106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4816A1F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58</w:t>
            </w:r>
          </w:p>
        </w:tc>
        <w:tc>
          <w:tcPr>
            <w:tcW w:w="1171" w:type="dxa"/>
            <w:vMerge w:val="restart"/>
            <w:tcBorders>
              <w:tl2br w:val="nil"/>
              <w:tr2bl w:val="nil"/>
            </w:tcBorders>
            <w:noWrap w:val="0"/>
            <w:tcMar>
              <w:top w:w="28" w:type="dxa"/>
              <w:left w:w="28" w:type="dxa"/>
              <w:bottom w:w="28" w:type="dxa"/>
              <w:right w:w="28" w:type="dxa"/>
            </w:tcMar>
            <w:vAlign w:val="center"/>
          </w:tcPr>
          <w:p w14:paraId="6AE57D2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稳妥推进拖欠企业账款化解工作</w:t>
            </w:r>
          </w:p>
        </w:tc>
        <w:tc>
          <w:tcPr>
            <w:tcW w:w="2271" w:type="dxa"/>
            <w:tcBorders>
              <w:tl2br w:val="nil"/>
              <w:tr2bl w:val="nil"/>
            </w:tcBorders>
            <w:noWrap w:val="0"/>
            <w:tcMar>
              <w:top w:w="28" w:type="dxa"/>
              <w:left w:w="28" w:type="dxa"/>
              <w:bottom w:w="28" w:type="dxa"/>
              <w:right w:w="28" w:type="dxa"/>
            </w:tcMar>
            <w:vAlign w:val="center"/>
          </w:tcPr>
          <w:p w14:paraId="2A02EB6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推动及时支付中小企业款项</w:t>
            </w:r>
          </w:p>
        </w:tc>
        <w:tc>
          <w:tcPr>
            <w:tcW w:w="4429" w:type="dxa"/>
            <w:tcBorders>
              <w:tl2br w:val="nil"/>
              <w:tr2bl w:val="nil"/>
            </w:tcBorders>
            <w:noWrap w:val="0"/>
            <w:tcMar>
              <w:top w:w="28" w:type="dxa"/>
              <w:left w:w="28" w:type="dxa"/>
              <w:bottom w:w="28" w:type="dxa"/>
              <w:right w:w="28" w:type="dxa"/>
            </w:tcMar>
            <w:vAlign w:val="center"/>
          </w:tcPr>
          <w:p w14:paraId="337BD47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严格落实《保障中小企业款项支付条例》，推动机关、事业单位、国有企业及时支付中小企业货物、工程、服务款项。</w:t>
            </w:r>
          </w:p>
        </w:tc>
        <w:tc>
          <w:tcPr>
            <w:tcW w:w="2254" w:type="dxa"/>
            <w:tcBorders>
              <w:tl2br w:val="nil"/>
              <w:tr2bl w:val="nil"/>
            </w:tcBorders>
            <w:noWrap w:val="0"/>
            <w:tcMar>
              <w:top w:w="28" w:type="dxa"/>
              <w:left w:w="28" w:type="dxa"/>
              <w:bottom w:w="28" w:type="dxa"/>
              <w:right w:w="28" w:type="dxa"/>
            </w:tcMar>
            <w:vAlign w:val="center"/>
          </w:tcPr>
          <w:p w14:paraId="4E02E02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自治区工业和信息化厅，各履行出资人职责机构</w:t>
            </w:r>
          </w:p>
        </w:tc>
        <w:tc>
          <w:tcPr>
            <w:tcW w:w="2329" w:type="dxa"/>
            <w:tcBorders>
              <w:tl2br w:val="nil"/>
              <w:tr2bl w:val="nil"/>
            </w:tcBorders>
            <w:noWrap w:val="0"/>
            <w:tcMar>
              <w:top w:w="28" w:type="dxa"/>
              <w:left w:w="28" w:type="dxa"/>
              <w:bottom w:w="28" w:type="dxa"/>
              <w:right w:w="28" w:type="dxa"/>
            </w:tcMar>
            <w:vAlign w:val="center"/>
          </w:tcPr>
          <w:p w14:paraId="598D242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44ED3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3A8B15B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lang w:val="en-US"/>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59</w:t>
            </w:r>
          </w:p>
        </w:tc>
        <w:tc>
          <w:tcPr>
            <w:tcW w:w="1171" w:type="dxa"/>
            <w:vMerge w:val="continue"/>
            <w:tcBorders>
              <w:tl2br w:val="nil"/>
              <w:tr2bl w:val="nil"/>
            </w:tcBorders>
            <w:noWrap w:val="0"/>
            <w:tcMar>
              <w:top w:w="28" w:type="dxa"/>
              <w:left w:w="28" w:type="dxa"/>
              <w:bottom w:w="28" w:type="dxa"/>
              <w:right w:w="28" w:type="dxa"/>
            </w:tcMar>
            <w:vAlign w:val="center"/>
          </w:tcPr>
          <w:p w14:paraId="3D06AC1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271" w:type="dxa"/>
            <w:tcBorders>
              <w:tl2br w:val="nil"/>
              <w:tr2bl w:val="nil"/>
            </w:tcBorders>
            <w:noWrap w:val="0"/>
            <w:tcMar>
              <w:top w:w="28" w:type="dxa"/>
              <w:left w:w="28" w:type="dxa"/>
              <w:bottom w:w="28" w:type="dxa"/>
              <w:right w:w="28" w:type="dxa"/>
            </w:tcMar>
            <w:vAlign w:val="center"/>
          </w:tcPr>
          <w:p w14:paraId="23A50C3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关注大型企业拖欠中小企业账款</w:t>
            </w:r>
          </w:p>
        </w:tc>
        <w:tc>
          <w:tcPr>
            <w:tcW w:w="4429" w:type="dxa"/>
            <w:tcBorders>
              <w:tl2br w:val="nil"/>
              <w:tr2bl w:val="nil"/>
            </w:tcBorders>
            <w:noWrap w:val="0"/>
            <w:tcMar>
              <w:top w:w="28" w:type="dxa"/>
              <w:left w:w="28" w:type="dxa"/>
              <w:bottom w:w="28" w:type="dxa"/>
              <w:right w:w="28" w:type="dxa"/>
            </w:tcMar>
            <w:vAlign w:val="center"/>
          </w:tcPr>
          <w:p w14:paraId="4D9DA2A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持续组织开展对国有企业年报公示信息“双随机、一公开”专项抽查，重点检查国有企业是否存在逾期尚未支付中小企业款项情形，以及逾期尚未支付中小企业款项的合同数量及合同金额。</w:t>
            </w:r>
          </w:p>
        </w:tc>
        <w:tc>
          <w:tcPr>
            <w:tcW w:w="2254" w:type="dxa"/>
            <w:tcBorders>
              <w:tl2br w:val="nil"/>
              <w:tr2bl w:val="nil"/>
            </w:tcBorders>
            <w:noWrap w:val="0"/>
            <w:tcMar>
              <w:top w:w="28" w:type="dxa"/>
              <w:left w:w="28" w:type="dxa"/>
              <w:bottom w:w="28" w:type="dxa"/>
              <w:right w:w="28" w:type="dxa"/>
            </w:tcMar>
            <w:vAlign w:val="center"/>
          </w:tcPr>
          <w:p w14:paraId="7AE4DE5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自治区工业和信息化厅，各履行出资人职责机构</w:t>
            </w:r>
          </w:p>
        </w:tc>
        <w:tc>
          <w:tcPr>
            <w:tcW w:w="2329" w:type="dxa"/>
            <w:tcBorders>
              <w:tl2br w:val="nil"/>
              <w:tr2bl w:val="nil"/>
            </w:tcBorders>
            <w:noWrap w:val="0"/>
            <w:tcMar>
              <w:top w:w="28" w:type="dxa"/>
              <w:left w:w="28" w:type="dxa"/>
              <w:bottom w:w="28" w:type="dxa"/>
              <w:right w:w="28" w:type="dxa"/>
            </w:tcMar>
            <w:vAlign w:val="center"/>
          </w:tcPr>
          <w:p w14:paraId="26C66CA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3C1AF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3C17CFE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60</w:t>
            </w:r>
          </w:p>
        </w:tc>
        <w:tc>
          <w:tcPr>
            <w:tcW w:w="1171" w:type="dxa"/>
            <w:tcBorders>
              <w:tl2br w:val="nil"/>
              <w:tr2bl w:val="nil"/>
            </w:tcBorders>
            <w:noWrap w:val="0"/>
            <w:tcMar>
              <w:top w:w="28" w:type="dxa"/>
              <w:left w:w="28" w:type="dxa"/>
              <w:bottom w:w="28" w:type="dxa"/>
              <w:right w:w="28" w:type="dxa"/>
            </w:tcMar>
            <w:vAlign w:val="center"/>
          </w:tcPr>
          <w:p w14:paraId="7794B10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稳妥推进拖欠企业账款化解工作</w:t>
            </w:r>
          </w:p>
        </w:tc>
        <w:tc>
          <w:tcPr>
            <w:tcW w:w="2271" w:type="dxa"/>
            <w:tcBorders>
              <w:tl2br w:val="nil"/>
              <w:tr2bl w:val="nil"/>
            </w:tcBorders>
            <w:noWrap w:val="0"/>
            <w:tcMar>
              <w:top w:w="28" w:type="dxa"/>
              <w:left w:w="28" w:type="dxa"/>
              <w:bottom w:w="28" w:type="dxa"/>
              <w:right w:w="28" w:type="dxa"/>
            </w:tcMar>
            <w:vAlign w:val="center"/>
          </w:tcPr>
          <w:p w14:paraId="0609E10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建立健全防范化解拖欠企业账款长效机制</w:t>
            </w:r>
          </w:p>
        </w:tc>
        <w:tc>
          <w:tcPr>
            <w:tcW w:w="4429" w:type="dxa"/>
            <w:tcBorders>
              <w:tl2br w:val="nil"/>
              <w:tr2bl w:val="nil"/>
            </w:tcBorders>
            <w:noWrap w:val="0"/>
            <w:tcMar>
              <w:top w:w="28" w:type="dxa"/>
              <w:left w:w="28" w:type="dxa"/>
              <w:bottom w:w="28" w:type="dxa"/>
              <w:right w:w="28" w:type="dxa"/>
            </w:tcMar>
            <w:vAlign w:val="center"/>
          </w:tcPr>
          <w:p w14:paraId="4803219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针对12345便民热线收集到的拖欠企业账款问题线索加强移送和督办，多渠道推动各地无分歧账款清偿化解完毕。</w:t>
            </w:r>
          </w:p>
        </w:tc>
        <w:tc>
          <w:tcPr>
            <w:tcW w:w="2254" w:type="dxa"/>
            <w:tcBorders>
              <w:tl2br w:val="nil"/>
              <w:tr2bl w:val="nil"/>
            </w:tcBorders>
            <w:noWrap w:val="0"/>
            <w:tcMar>
              <w:top w:w="28" w:type="dxa"/>
              <w:left w:w="28" w:type="dxa"/>
              <w:bottom w:w="28" w:type="dxa"/>
              <w:right w:w="28" w:type="dxa"/>
            </w:tcMar>
            <w:vAlign w:val="center"/>
          </w:tcPr>
          <w:p w14:paraId="4D23DA2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自治区工业和信息化厅，各履行出资人职责机构</w:t>
            </w:r>
          </w:p>
        </w:tc>
        <w:tc>
          <w:tcPr>
            <w:tcW w:w="2329" w:type="dxa"/>
            <w:tcBorders>
              <w:tl2br w:val="nil"/>
              <w:tr2bl w:val="nil"/>
            </w:tcBorders>
            <w:noWrap w:val="0"/>
            <w:tcMar>
              <w:top w:w="28" w:type="dxa"/>
              <w:left w:w="28" w:type="dxa"/>
              <w:bottom w:w="28" w:type="dxa"/>
              <w:right w:w="28" w:type="dxa"/>
            </w:tcMar>
            <w:vAlign w:val="center"/>
          </w:tcPr>
          <w:p w14:paraId="0E181E6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自治区数据局，各市、县人民政府</w:t>
            </w:r>
          </w:p>
        </w:tc>
      </w:tr>
    </w:tbl>
    <w:p w14:paraId="610DA7D0">
      <w:pPr>
        <w:rPr>
          <w:b w:val="0"/>
          <w:bCs w:val="0"/>
          <w:color w:val="auto"/>
        </w:rPr>
      </w:pPr>
    </w:p>
    <w:p w14:paraId="5DBCA38E"/>
    <w:sectPr>
      <w:pgSz w:w="16838" w:h="11906" w:orient="landscape"/>
      <w:pgMar w:top="1587" w:right="2098" w:bottom="1587" w:left="1757" w:header="851" w:footer="992" w:gutter="0"/>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F6B2C"/>
    <w:rsid w:val="096B303A"/>
    <w:rsid w:val="116F6B2C"/>
    <w:rsid w:val="1CC14054"/>
    <w:rsid w:val="223067CD"/>
    <w:rsid w:val="2A37166F"/>
    <w:rsid w:val="2B3B7993"/>
    <w:rsid w:val="62267368"/>
    <w:rsid w:val="65533E5D"/>
    <w:rsid w:val="76CD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b/>
      <w:kern w:val="44"/>
      <w:sz w:val="44"/>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ascii="仿宋_GB2312" w:hAnsi="宋体" w:eastAsia="仿宋_GB2312"/>
      <w:sz w:val="21"/>
      <w:szCs w:val="21"/>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默认段落 Char Char Char Char Char Char Char Char Char Char Char Char Char Char Char Char Char Char Char Char Char Char Char Char1 Char Char Char Char Char Char Char Char Char Char Char Char"/>
    <w:basedOn w:val="1"/>
    <w:qFormat/>
    <w:uiPriority w:val="0"/>
    <w:pPr>
      <w:widowControl/>
      <w:spacing w:line="400" w:lineRule="exact"/>
      <w:jc w:val="center"/>
    </w:pPr>
    <w:rPr>
      <w:rFonts w:ascii="Arial" w:hAnsi="Arial" w:eastAsia="Times New Roman"/>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7012</Words>
  <Characters>7105</Characters>
  <Lines>0</Lines>
  <Paragraphs>0</Paragraphs>
  <TotalTime>0</TotalTime>
  <ScaleCrop>false</ScaleCrop>
  <LinksUpToDate>false</LinksUpToDate>
  <CharactersWithSpaces>7105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2025-05-14T09:33:00Z</dcterms:created>
  <dc:creator>ฅ'ω'ฅ</dc:creator>
  <cp:lastModifiedBy>你之于我</cp:lastModifiedBy>
  <dcterms:modified xsi:type="dcterms:W3CDTF">2025-12-09T03:56:37Z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04EEF354B51C4B6AAB57F3E57C5EF39B_13</vt:lpwstr>
  </property>
  <property fmtid="{D5CDD505-2E9C-101B-9397-08002B2CF9AE}" pid="4" name="KSOTemplateDocerSaveRecord">
    <vt:lpwstr>eyJoZGlkIjoiZGI0OWY2YzdmYjg5ZmJhYTE4MjkyZTkwYjljZDZiNDciLCJ1c2VySWQiOiIyMDcyNTM4NDUifQ==</vt:lpwstr>
  </property>
</Properties>
</file>