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F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kern w:val="21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  <w:t>附件2</w:t>
      </w:r>
    </w:p>
    <w:p w14:paraId="33208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</w:p>
    <w:p w14:paraId="6271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  <w:t>2025年广西法治化营商环境建设任务清单</w:t>
      </w:r>
      <w:bookmarkEnd w:id="0"/>
    </w:p>
    <w:p w14:paraId="1A0C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131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15"/>
        <w:gridCol w:w="1977"/>
        <w:gridCol w:w="4638"/>
        <w:gridCol w:w="2228"/>
        <w:gridCol w:w="2241"/>
      </w:tblGrid>
      <w:tr w14:paraId="6B1B3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29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99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指标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50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改革方向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84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任务举措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3F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39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配合单位</w:t>
            </w:r>
          </w:p>
        </w:tc>
      </w:tr>
      <w:tr w14:paraId="5927D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6D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D1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加快推进营商环境立法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6B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推动一批地方性法规立法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D9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注重“小快灵”、“小切口”立法，加快推进制定向海经济促进条例、数字经济促进条例等涉及经营主体的法规。推动修订自治区专利条例、法律援助条例等法规规章。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0D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自治区司法厅，自治区各有关职能部门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8A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1EE18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C6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1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BC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推动将成熟举措上升为法规规章制度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9A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鼓励支持各级各部门依法探索出台符合本地区、本部门需求的制度规范，及时将成熟的优化营商环境改革举措上升为法规规章。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39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自治区司法厅，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highlight w:val="none"/>
                <w:u w:val="none"/>
                <w:lang w:val="en-US" w:eastAsia="zh-CN" w:bidi="ar"/>
              </w:rPr>
              <w:t>自治区人大常委会法工委，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35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5EFF6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B9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95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严格规范涉企行政执法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B2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进一步规范行政检查行为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E9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严格落实涉企行政检查“五个严禁”、“八个不得”要求。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CD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自治区司法厅、数据局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7D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75D5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18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0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严格规范涉企行政执法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FE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优化涉企检查方式和频次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38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合理统筹自治区、市、县三级行政检查计划，优化“综合查一次”，推行多个行政机关同一时间、针对同一执法对象开展联合检查，实现“进一次门、查多项事、一次到位”。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29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自治区司法厅、数据局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72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7E7A4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D7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8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B1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大力推进“双随机、一公开”检查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6F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除根据重点监管事项清单和问题线索开展的靶向监管外，原则上通过“双随机、一公开”方式开展涉企行政检查。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F7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68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6BF10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5D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EA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C5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探索推行非现场监管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5D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探索运用大数据筛查、自动巡检、智能预警等手段，主动发现和识别违法违规线索，推动检查业务在线办理、信息自动上传、问题及时处置，最大限度减少不必要的现场检查。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07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自治区市场监管局、数据局，自治区各有关行政执法部门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C7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06865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6B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9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20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开展规范涉企执法专项行动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35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根据国家有关部署开展规范涉企执法专项行动，整治趋利性执法以及乱罚款、乱检查、乱查封等问题，重点关注罚没收入异常增长、大量异地执法、大额顶格处罚等情况。重点整治选择性执法和让企业“自证清白”式监管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B5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自治区司法厅、数据局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43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6DEEF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83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D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严格规范涉企行政执法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44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提升涉企检查规范化便利化水平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DC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建立涉企联合检查平台，依托智桂通应用程序（APP）的“桂通码”，全面推行行政检查扫码入企，强化检查总量控制和监管效能评估。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6D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C1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2D488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CE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9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5E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大力推进包容审慎监管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F5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11"/>
                <w:kern w:val="21"/>
                <w:sz w:val="27"/>
                <w:szCs w:val="27"/>
                <w:u w:val="none"/>
                <w:lang w:val="en-US" w:eastAsia="zh-CN" w:bidi="ar"/>
              </w:rPr>
              <w:t>对轻微违法行为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，依法不予行政处罚、免予行政处罚或者从轻、减轻行政处罚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80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深化轻微违法行为依法不予行政处罚或者从轻、减轻行政处罚工作，依法拓展轻微违法行为依法不予行政处罚事项范围，优化轻微违法行为依法不予行政处罚案件办理流程。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60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8F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3C288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DE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8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D5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完善行政处罚裁量基准制度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EC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研究制定相关实施细则，保障科学规范行使行政处罚裁量权，推动同一执法事项相同情形同基准裁量。围绕行政处罚裁量权基准适用原则等加大执法监督力度。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07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11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司法厅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EF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6ED22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F8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11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B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EB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探索实施全过程</w:t>
            </w:r>
          </w:p>
          <w:p w14:paraId="5024C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说理式执法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1B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推行“说理式执法”，在行政处罚告知书和决定书中全面告知内容、事实、理由、执法依据以及裁量权基准适用情况，充分保障企业知情权、陈述申辩权。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AA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49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6D494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57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12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B8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进一步深化破产制度改革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60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完善破产企业资产处置机制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C1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进一步加大破产企业资产处置力度，完善国有划拨土地转移流程、规范办理不动产登记、健全股权变更及解除质押查封办理流程，有效促进破产企业存量资源盘活利用。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96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自治区高级法院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71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11"/>
                <w:kern w:val="21"/>
                <w:sz w:val="27"/>
                <w:szCs w:val="27"/>
                <w:u w:val="none"/>
                <w:lang w:val="en-US" w:eastAsia="zh-CN" w:bidi="ar"/>
              </w:rPr>
              <w:t>自治区自然资源厅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，各市、县人民政府</w:t>
            </w:r>
          </w:p>
        </w:tc>
      </w:tr>
      <w:tr w14:paraId="24B7E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CE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13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CF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24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促进国有破产退出企业存量土地加快转移登记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29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加快国有存量土地盘活再利用，促进国有破产退出企业存量土地依法依规加快转移登记，推动国有企业盘活利用闲置土地资源。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2F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自治区自然资源厅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85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71E8C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E5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14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7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64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强化系统集成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EC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细化深化破产制度改革综合性政策，系统集成财产处置、信用修复、涉税服务、注销登记等破产办理领域的政策措施，构建推动管理人高效履职、便利企业重整和退出的升级版政策体系，为破产办理提供全流程、全闭环、全链条高效便捷服务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95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自治区高级法院，自治区市场监管局，广西税务局，自治区发展改革委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C1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11"/>
                <w:kern w:val="21"/>
                <w:sz w:val="27"/>
                <w:szCs w:val="27"/>
                <w:u w:val="none"/>
                <w:lang w:val="en-US" w:eastAsia="zh-CN" w:bidi="ar"/>
              </w:rPr>
              <w:t>自治区党委金融办，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2836D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C9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15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C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加强知识产权保护运用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68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加大知识产权保护平台建设力度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DC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加快建设国家级南宁市知识产权保护中心，针对新能源和新材料产业开展专利预审服务。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AB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38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南宁市人民政府</w:t>
            </w:r>
          </w:p>
        </w:tc>
      </w:tr>
      <w:tr w14:paraId="6B959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21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16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B7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9A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进一步优化知识产权保护服务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19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推荐重点产业发明专利优先审查600件以上，力争每万人口高价值发明专利拥有量达3件以上。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FD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自治区市场监管局、科技厅、版权局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FB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745EB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A0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17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7F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40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开展“百个地理标志千家企业运用”高质量发展行动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81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促进地理标志与多领域融合发展，推动地理标志专用标志用标企业突破1200家。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10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84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43C1F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20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18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73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AE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探索开展版权侵权纠纷行政裁决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61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在自由贸易试验区探索开展版权侵权纠纷行政裁决，加快构建法治健全、实施高效、有机衔接、执行有力的版权侵权纠纷行政裁决工作体系。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17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自治区商务厅、版权局、司法厅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41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各有关市、县人民政府</w:t>
            </w:r>
          </w:p>
        </w:tc>
      </w:tr>
      <w:tr w14:paraId="3E0C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00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19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5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FC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推动知识产权法律服务与先进制造业深度融合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D0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构建与现代产业体系相适应的法律服务体系，推动知识产权法律服务与先进制造业深度融合，促进提升产业链供应链的安全性、稳定性。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16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自治区司法厅、市场监管局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CC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799DA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56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20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2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加强知识产权保护运用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0D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建立海外知识产权纠纷常态化监测机制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A8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对重点国家进行知识产权诉讼动态化监测，实现涉桂企业海外知识产权纠纷“早监测”、“早预警”、“早响应”。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D1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88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自治区商务厅，广西贸促会，各市、县人民政府</w:t>
            </w:r>
          </w:p>
        </w:tc>
      </w:tr>
      <w:tr w14:paraId="386B4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1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8C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21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2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EA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完善多部门共同参与知识产权纠纷多元化解决机制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41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搭建知识产权司法协同中心，推进知识产权全流程、全链条、全方位保护，跨区域管理疑难复杂技术类一审民事和行政案件，推进知识产权纠纷快速处理。设立知识产权仲裁院，出台知识产权争议仲裁规则，为创新主体提供专业、高效、保密的知识产权纠纷解决服务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4B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自治区高级法院，自治区司法厅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CD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22DD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A3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22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3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12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建立“公安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司法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企业”的著作权保护新模式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CF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设著作权保护联勤中心，探索建立服务全国著作权保护的体制机制，汇聚公安基础数据和许可审批、权利登记、行政处罚等著作权领域政务数据，结合互联网监测、舆情投诉、企业打假数据等开展全面研判，形成触发预警、高效联合、捆绑作战的工作模式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2F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自治区司法厅、公安厅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75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48B04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C4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23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20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加强知识产权保护运用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2A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创新知识产权助企新模式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A8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开展专利侵权纠纷行政调解司法确认，设立知识产权巡回审判庭，建立技术调查官制度，建立知识产权互助办案和定期联络机制，推动知识产权服务实体经济发展。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24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自治区高级法院，自治区市场监管局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01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0E513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23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24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4D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30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凝聚知识产权保护多元合力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71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实施《专利纠纷行政裁决和调解办法》，采取联合办案、专案指导等方式，加强专利侵权纠纷行政裁决办案指导，提升案件办理质效。建立知识产权刑事案件诉前赔偿调解机制，为当事人提供规范、便捷、高效、低成本的维权渠道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64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自治区高级法院，自治区检察院，自治区市场监管局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B8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</w:tbl>
    <w:p w14:paraId="0D17E69A">
      <w:r>
        <w:rPr>
          <w:b w:val="0"/>
          <w:bCs w:val="0"/>
          <w:color w:val="auto"/>
        </w:rPr>
        <w:br w:type="page"/>
      </w:r>
    </w:p>
    <w:sectPr>
      <w:pgSz w:w="16838" w:h="11906" w:orient="landscape"/>
      <w:pgMar w:top="1587" w:right="2098" w:bottom="1587" w:left="1757" w:header="851" w:footer="992" w:gutter="0"/>
      <w:cols w:space="0" w:num="1"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2766B"/>
    <w:rsid w:val="013600CB"/>
    <w:rsid w:val="096B303A"/>
    <w:rsid w:val="223067CD"/>
    <w:rsid w:val="2A37166F"/>
    <w:rsid w:val="2B3B7993"/>
    <w:rsid w:val="4622766B"/>
    <w:rsid w:val="62267368"/>
    <w:rsid w:val="65533E5D"/>
    <w:rsid w:val="76C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宋体" w:eastAsia="仿宋_GB231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2820</Words>
  <Characters>2845</Characters>
  <Lines>0</Lines>
  <Paragraphs>0</Paragraphs>
  <TotalTime>0</TotalTime>
  <ScaleCrop>false</ScaleCrop>
  <LinksUpToDate>false</LinksUpToDate>
  <CharactersWithSpaces>2845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2025-05-14T09:39:00Z</dcterms:created>
  <dc:creator>ฅ'ω'ฅ</dc:creator>
  <cp:lastModifiedBy>你之于我</cp:lastModifiedBy>
  <dcterms:modified xsi:type="dcterms:W3CDTF">2025-12-09T03:57:22Z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D8D3AC1797CA4974B190564F178F7A2F_13</vt:lpwstr>
  </property>
  <property fmtid="{D5CDD505-2E9C-101B-9397-08002B2CF9AE}" pid="4" name="KSOTemplateDocerSaveRecord">
    <vt:lpwstr>eyJoZGlkIjoiZGI0OWY2YzdmYjg5ZmJhYTE4MjkyZTkwYjljZDZiNDciLCJ1c2VySWQiOiIyMDcyNTM4NDUifQ==</vt:lpwstr>
  </property>
</Properties>
</file>